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A5" w:rsidRPr="00B36B1A" w:rsidRDefault="00AC731F" w:rsidP="00AC731F">
      <w:pPr>
        <w:pStyle w:val="Titre"/>
        <w:rPr>
          <w:sz w:val="24"/>
        </w:rPr>
      </w:pPr>
      <w:r w:rsidRPr="00B36B1A">
        <w:rPr>
          <w:sz w:val="24"/>
        </w:rPr>
        <w:t xml:space="preserve">DOLENIO </w:t>
      </w:r>
      <w:r w:rsidRPr="00B36B1A">
        <w:t>589 mg, comprimé pelliculé</w:t>
      </w:r>
    </w:p>
    <w:p w:rsidR="00C044A5" w:rsidRDefault="00C044A5" w:rsidP="00C044A5">
      <w:pPr>
        <w:tabs>
          <w:tab w:val="center" w:pos="5103"/>
          <w:tab w:val="right" w:pos="9639"/>
        </w:tabs>
        <w:spacing w:line="260" w:lineRule="atLeast"/>
        <w:jc w:val="center"/>
        <w:outlineLvl w:val="0"/>
        <w:rPr>
          <w:sz w:val="22"/>
        </w:rPr>
      </w:pPr>
    </w:p>
    <w:p w:rsidR="00C044A5" w:rsidRDefault="00C044A5" w:rsidP="00C044A5">
      <w:pPr>
        <w:tabs>
          <w:tab w:val="center" w:pos="5103"/>
          <w:tab w:val="right" w:pos="9639"/>
        </w:tabs>
        <w:spacing w:line="260" w:lineRule="atLeast"/>
        <w:jc w:val="center"/>
        <w:rPr>
          <w:sz w:val="22"/>
        </w:rPr>
      </w:pPr>
    </w:p>
    <w:p w:rsidR="00C044A5" w:rsidRDefault="00C044A5" w:rsidP="00C044A5">
      <w:pPr>
        <w:tabs>
          <w:tab w:val="center" w:pos="5103"/>
          <w:tab w:val="right" w:pos="9639"/>
        </w:tabs>
        <w:spacing w:line="260" w:lineRule="atLeast"/>
        <w:jc w:val="center"/>
        <w:outlineLvl w:val="0"/>
        <w:rPr>
          <w:sz w:val="22"/>
        </w:rPr>
      </w:pPr>
      <w:r>
        <w:rPr>
          <w:sz w:val="22"/>
        </w:rPr>
        <w:t>Mentions légales longues Maroc</w:t>
      </w:r>
    </w:p>
    <w:p w:rsidR="00C044A5" w:rsidRDefault="00C044A5" w:rsidP="00C044A5">
      <w:pPr>
        <w:tabs>
          <w:tab w:val="center" w:pos="5103"/>
          <w:tab w:val="right" w:pos="9639"/>
        </w:tabs>
        <w:spacing w:line="260" w:lineRule="atLeast"/>
        <w:jc w:val="center"/>
        <w:outlineLvl w:val="0"/>
        <w:rPr>
          <w:sz w:val="22"/>
        </w:rPr>
      </w:pPr>
    </w:p>
    <w:p w:rsidR="00C044A5" w:rsidRDefault="00C044A5" w:rsidP="003C70D8">
      <w:pPr>
        <w:pBdr>
          <w:bottom w:val="single" w:sz="6" w:space="0" w:color="000000"/>
        </w:pBdr>
        <w:tabs>
          <w:tab w:val="center" w:pos="4752"/>
          <w:tab w:val="right" w:pos="9360"/>
        </w:tabs>
        <w:spacing w:line="260" w:lineRule="atLeast"/>
        <w:rPr>
          <w:b/>
          <w:i/>
          <w:sz w:val="22"/>
        </w:rPr>
      </w:pPr>
    </w:p>
    <w:p w:rsidR="00C044A5" w:rsidRDefault="00C044A5" w:rsidP="00C044A5">
      <w:pPr>
        <w:spacing w:line="260" w:lineRule="atLeast"/>
        <w:rPr>
          <w:sz w:val="22"/>
        </w:rPr>
      </w:pPr>
    </w:p>
    <w:p w:rsidR="00C044A5" w:rsidRDefault="00C044A5" w:rsidP="00C044A5">
      <w:pPr>
        <w:spacing w:line="260" w:lineRule="atLeast"/>
        <w:rPr>
          <w:sz w:val="22"/>
        </w:rPr>
      </w:pPr>
    </w:p>
    <w:p w:rsidR="00531DC7" w:rsidRPr="00795B12" w:rsidRDefault="00C044A5" w:rsidP="00531DC7">
      <w:pPr>
        <w:pStyle w:val="ammannexetitre4"/>
        <w:spacing w:before="0" w:beforeAutospacing="0" w:after="0" w:afterAutospacing="0"/>
        <w:jc w:val="both"/>
        <w:rPr>
          <w:sz w:val="22"/>
        </w:rPr>
      </w:pPr>
      <w:r w:rsidRPr="00C044A5">
        <w:rPr>
          <w:b/>
          <w:sz w:val="22"/>
        </w:rPr>
        <w:t>DÉNOMINATION</w:t>
      </w:r>
      <w:r w:rsidR="00AC731F">
        <w:rPr>
          <w:color w:val="002060"/>
          <w:sz w:val="22"/>
        </w:rPr>
        <w:t xml:space="preserve"> DOLENIO 589 mg, comprimés pelliculés</w:t>
      </w:r>
      <w:r w:rsidR="006A0D70">
        <w:rPr>
          <w:color w:val="002060"/>
          <w:sz w:val="22"/>
        </w:rPr>
        <w:t>.</w:t>
      </w:r>
      <w:r w:rsidR="005522C4">
        <w:rPr>
          <w:color w:val="002060"/>
          <w:sz w:val="22"/>
        </w:rPr>
        <w:t xml:space="preserve"> </w:t>
      </w:r>
      <w:r w:rsidRPr="00C044A5">
        <w:rPr>
          <w:b/>
          <w:sz w:val="22"/>
        </w:rPr>
        <w:t>COMPOSITION</w:t>
      </w:r>
      <w:r w:rsidR="004C04E4">
        <w:rPr>
          <w:b/>
          <w:sz w:val="22"/>
        </w:rPr>
        <w:t xml:space="preserve"> </w:t>
      </w:r>
      <w:r w:rsidR="00AC731F" w:rsidRPr="00795B12">
        <w:rPr>
          <w:color w:val="002060"/>
          <w:sz w:val="22"/>
        </w:rPr>
        <w:t>Un</w:t>
      </w:r>
      <w:r w:rsidR="00AC731F" w:rsidRPr="00AC731F">
        <w:rPr>
          <w:color w:val="002060"/>
          <w:sz w:val="22"/>
        </w:rPr>
        <w:t xml:space="preserve"> comprimé pelliculé</w:t>
      </w:r>
      <w:r w:rsidR="004C04E4">
        <w:rPr>
          <w:color w:val="002060"/>
          <w:sz w:val="22"/>
        </w:rPr>
        <w:t xml:space="preserve"> </w:t>
      </w:r>
      <w:r w:rsidR="00AC731F" w:rsidRPr="00AC731F">
        <w:rPr>
          <w:color w:val="002060"/>
          <w:sz w:val="22"/>
        </w:rPr>
        <w:t>contient</w:t>
      </w:r>
      <w:r w:rsidR="006A0D70">
        <w:rPr>
          <w:color w:val="002060"/>
          <w:sz w:val="22"/>
        </w:rPr>
        <w:t xml:space="preserve"> </w:t>
      </w:r>
      <w:r w:rsidR="00AC731F" w:rsidRPr="00AC731F">
        <w:rPr>
          <w:color w:val="002060"/>
          <w:sz w:val="22"/>
        </w:rPr>
        <w:t xml:space="preserve"> 942,3 mg de sulfate de glucosamine stabilisé par le chlorure de sodium, correspondant à 750 mg de sulfate de glucosamine ou à 589 mg de glucosamine.</w:t>
      </w:r>
      <w:r w:rsidR="00795B12">
        <w:rPr>
          <w:color w:val="002060"/>
          <w:sz w:val="22"/>
        </w:rPr>
        <w:t xml:space="preserve"> Excipient</w:t>
      </w:r>
      <w:r w:rsidR="009F729F">
        <w:rPr>
          <w:color w:val="002060"/>
          <w:sz w:val="22"/>
        </w:rPr>
        <w:t xml:space="preserve"> </w:t>
      </w:r>
      <w:r w:rsidR="00795B12">
        <w:rPr>
          <w:color w:val="002060"/>
          <w:sz w:val="22"/>
        </w:rPr>
        <w:t>:</w:t>
      </w:r>
      <w:r w:rsidR="00AC731F" w:rsidRPr="00AC731F">
        <w:rPr>
          <w:color w:val="002060"/>
          <w:sz w:val="22"/>
        </w:rPr>
        <w:t xml:space="preserve"> un comprimé contient 75,61 mg de sodium</w:t>
      </w:r>
      <w:r w:rsidR="00AC731F" w:rsidRPr="003C70D8">
        <w:rPr>
          <w:color w:val="002060"/>
          <w:sz w:val="22"/>
        </w:rPr>
        <w:t>.</w:t>
      </w:r>
      <w:bookmarkStart w:id="0" w:name="_Toc142278937"/>
      <w:r w:rsidR="006A0D70">
        <w:rPr>
          <w:color w:val="002060"/>
          <w:sz w:val="22"/>
        </w:rPr>
        <w:t xml:space="preserve"> </w:t>
      </w:r>
      <w:r w:rsidR="003C70D8" w:rsidRPr="003C70D8">
        <w:rPr>
          <w:i/>
          <w:color w:val="002060"/>
          <w:sz w:val="22"/>
          <w:u w:val="single"/>
        </w:rPr>
        <w:t>Noyau du comprimé</w:t>
      </w:r>
      <w:bookmarkEnd w:id="0"/>
      <w:r w:rsidR="003C70D8" w:rsidRPr="003C70D8">
        <w:rPr>
          <w:i/>
          <w:color w:val="002060"/>
          <w:sz w:val="22"/>
          <w:u w:val="single"/>
        </w:rPr>
        <w:t> :</w:t>
      </w:r>
      <w:r w:rsidR="005522C4" w:rsidRPr="005522C4">
        <w:rPr>
          <w:i/>
          <w:color w:val="002060"/>
          <w:sz w:val="22"/>
        </w:rPr>
        <w:t xml:space="preserve"> </w:t>
      </w:r>
      <w:proofErr w:type="spellStart"/>
      <w:r w:rsidR="003C70D8" w:rsidRPr="003C70D8">
        <w:rPr>
          <w:color w:val="002060"/>
          <w:sz w:val="22"/>
        </w:rPr>
        <w:t>Povidone</w:t>
      </w:r>
      <w:proofErr w:type="spellEnd"/>
      <w:r w:rsidR="003C70D8" w:rsidRPr="003C70D8">
        <w:rPr>
          <w:color w:val="002060"/>
          <w:sz w:val="22"/>
        </w:rPr>
        <w:t xml:space="preserve"> K30, </w:t>
      </w:r>
      <w:proofErr w:type="spellStart"/>
      <w:r w:rsidR="003C70D8" w:rsidRPr="003C70D8">
        <w:rPr>
          <w:color w:val="002060"/>
          <w:sz w:val="22"/>
        </w:rPr>
        <w:t>macrogol</w:t>
      </w:r>
      <w:proofErr w:type="spellEnd"/>
      <w:r w:rsidR="003C70D8" w:rsidRPr="003C70D8">
        <w:rPr>
          <w:color w:val="002060"/>
          <w:sz w:val="22"/>
        </w:rPr>
        <w:t xml:space="preserve"> 4000, stéarate de magnésium. </w:t>
      </w:r>
      <w:r w:rsidR="003C70D8" w:rsidRPr="003C70D8">
        <w:rPr>
          <w:i/>
          <w:color w:val="002060"/>
          <w:sz w:val="22"/>
          <w:u w:val="single"/>
        </w:rPr>
        <w:t>Pelliculage</w:t>
      </w:r>
      <w:r w:rsidR="003C70D8" w:rsidRPr="003C70D8">
        <w:rPr>
          <w:color w:val="002060"/>
          <w:sz w:val="22"/>
          <w:u w:val="single"/>
        </w:rPr>
        <w:t> :</w:t>
      </w:r>
      <w:r w:rsidR="005522C4" w:rsidRPr="005522C4">
        <w:rPr>
          <w:color w:val="002060"/>
          <w:sz w:val="22"/>
        </w:rPr>
        <w:t xml:space="preserve"> </w:t>
      </w:r>
      <w:proofErr w:type="spellStart"/>
      <w:r w:rsidR="003C70D8" w:rsidRPr="003C70D8">
        <w:rPr>
          <w:color w:val="002060"/>
          <w:sz w:val="22"/>
        </w:rPr>
        <w:t>Hypromellose</w:t>
      </w:r>
      <w:proofErr w:type="spellEnd"/>
      <w:r w:rsidR="003C70D8" w:rsidRPr="003C70D8">
        <w:rPr>
          <w:color w:val="002060"/>
          <w:sz w:val="22"/>
        </w:rPr>
        <w:t xml:space="preserve">, dioxyde de titane (E171), talc, propylène glycol, </w:t>
      </w:r>
      <w:proofErr w:type="spellStart"/>
      <w:r w:rsidR="003C70D8" w:rsidRPr="003C70D8">
        <w:rPr>
          <w:color w:val="002060"/>
          <w:sz w:val="22"/>
        </w:rPr>
        <w:t>polysorbate</w:t>
      </w:r>
      <w:proofErr w:type="spellEnd"/>
      <w:r w:rsidR="003C70D8" w:rsidRPr="003C70D8">
        <w:rPr>
          <w:color w:val="002060"/>
          <w:sz w:val="22"/>
        </w:rPr>
        <w:t xml:space="preserve"> 80.</w:t>
      </w:r>
      <w:r w:rsidR="005522C4">
        <w:rPr>
          <w:color w:val="002060"/>
          <w:sz w:val="22"/>
        </w:rPr>
        <w:t xml:space="preserve"> </w:t>
      </w:r>
      <w:r>
        <w:rPr>
          <w:b/>
          <w:sz w:val="22"/>
        </w:rPr>
        <w:t>FORME PHARMACEUTIQUE ET PRÉSENTATION</w:t>
      </w:r>
      <w:r w:rsidR="004C04E4">
        <w:rPr>
          <w:b/>
          <w:sz w:val="22"/>
        </w:rPr>
        <w:t xml:space="preserve"> </w:t>
      </w:r>
      <w:r w:rsidR="00AC731F">
        <w:rPr>
          <w:color w:val="002060"/>
          <w:sz w:val="22"/>
        </w:rPr>
        <w:t xml:space="preserve">comprimés pelliculés boîte de </w:t>
      </w:r>
      <w:r w:rsidRPr="00AC731F">
        <w:rPr>
          <w:color w:val="002060"/>
          <w:sz w:val="22"/>
        </w:rPr>
        <w:t>60</w:t>
      </w:r>
      <w:r w:rsidR="00AC731F" w:rsidRPr="00AC731F">
        <w:rPr>
          <w:color w:val="002060"/>
          <w:sz w:val="22"/>
        </w:rPr>
        <w:t>, 120, 180</w:t>
      </w:r>
      <w:r w:rsidR="006A0D70">
        <w:rPr>
          <w:color w:val="002060"/>
          <w:sz w:val="22"/>
        </w:rPr>
        <w:t xml:space="preserve">, toutes </w:t>
      </w:r>
      <w:r w:rsidR="00391E39">
        <w:rPr>
          <w:color w:val="002060"/>
          <w:sz w:val="22"/>
        </w:rPr>
        <w:t xml:space="preserve">ces </w:t>
      </w:r>
      <w:r w:rsidR="006A0D70">
        <w:rPr>
          <w:color w:val="002060"/>
          <w:sz w:val="22"/>
        </w:rPr>
        <w:t>présentations peuvent ne pas être commercialisées</w:t>
      </w:r>
      <w:r w:rsidRPr="00AC731F">
        <w:rPr>
          <w:color w:val="002060"/>
          <w:sz w:val="22"/>
        </w:rPr>
        <w:t>.</w:t>
      </w:r>
      <w:r w:rsidR="005522C4">
        <w:rPr>
          <w:color w:val="002060"/>
          <w:sz w:val="22"/>
        </w:rPr>
        <w:t xml:space="preserve"> </w:t>
      </w:r>
      <w:r>
        <w:rPr>
          <w:b/>
          <w:caps/>
          <w:sz w:val="22"/>
        </w:rPr>
        <w:t>IndicationS th</w:t>
      </w:r>
      <w:r>
        <w:rPr>
          <w:b/>
          <w:sz w:val="22"/>
        </w:rPr>
        <w:t>É</w:t>
      </w:r>
      <w:r>
        <w:rPr>
          <w:b/>
          <w:caps/>
          <w:sz w:val="22"/>
        </w:rPr>
        <w:t>rapeutiqueS</w:t>
      </w:r>
      <w:r w:rsidR="004C04E4">
        <w:rPr>
          <w:b/>
          <w:caps/>
          <w:sz w:val="22"/>
        </w:rPr>
        <w:t xml:space="preserve"> </w:t>
      </w:r>
      <w:r w:rsidR="00AC731F" w:rsidRPr="00AC731F">
        <w:rPr>
          <w:color w:val="002060"/>
          <w:sz w:val="22"/>
        </w:rPr>
        <w:t>Soulagement des symptômes de l’arthrose légère à modérée du genou.</w:t>
      </w:r>
      <w:r w:rsidR="005522C4">
        <w:rPr>
          <w:color w:val="002060"/>
          <w:sz w:val="22"/>
        </w:rPr>
        <w:t xml:space="preserve"> </w:t>
      </w:r>
      <w:r>
        <w:rPr>
          <w:b/>
          <w:caps/>
          <w:sz w:val="22"/>
        </w:rPr>
        <w:t>Posologie et mode d'administration</w:t>
      </w:r>
      <w:r w:rsidR="004C04E4">
        <w:rPr>
          <w:b/>
          <w:caps/>
          <w:sz w:val="22"/>
        </w:rPr>
        <w:t xml:space="preserve"> </w:t>
      </w:r>
      <w:r w:rsidR="0039241B" w:rsidRPr="0039241B">
        <w:rPr>
          <w:i/>
          <w:iCs/>
          <w:color w:val="002060"/>
          <w:sz w:val="22"/>
          <w:szCs w:val="20"/>
          <w:u w:val="single"/>
        </w:rPr>
        <w:t>Adultes :</w:t>
      </w:r>
      <w:r w:rsidR="005522C4" w:rsidRPr="005522C4">
        <w:rPr>
          <w:i/>
          <w:iCs/>
          <w:color w:val="002060"/>
          <w:sz w:val="22"/>
          <w:szCs w:val="20"/>
        </w:rPr>
        <w:t xml:space="preserve"> </w:t>
      </w:r>
      <w:r w:rsidR="0039241B" w:rsidRPr="0039241B">
        <w:rPr>
          <w:color w:val="002060"/>
          <w:sz w:val="22"/>
          <w:szCs w:val="20"/>
        </w:rPr>
        <w:t>La dose recommandée est de 1178 mg de glucosamine (1500 mg de sulfate de glucosamine) par jour à prendre avec un verre d’eau. Cette dose correspond à : 2 comprimés de DOLENIO 589 mg, à prendre en une</w:t>
      </w:r>
      <w:r w:rsidR="009F729F">
        <w:rPr>
          <w:color w:val="002060"/>
          <w:sz w:val="22"/>
          <w:szCs w:val="20"/>
        </w:rPr>
        <w:t xml:space="preserve"> seule prise, une fois par jour</w:t>
      </w:r>
      <w:r w:rsidR="0039241B" w:rsidRPr="0039241B">
        <w:rPr>
          <w:color w:val="002060"/>
          <w:sz w:val="22"/>
          <w:szCs w:val="20"/>
        </w:rPr>
        <w:t>. La glucosamine n’est pas indiquée pour le traitement des symptômes douloureux aigus. Le soulagement des symptômes (de la douleur en particulier) peut n’apparaître qu’après plusieurs semaines de traitement, voire plus longtemps dans certains cas. En l’absence de tout soulagement au bout de 2 ou 3 mois, la poursuite du traitement par la glucosamine doit être reconsidérée. Les comprimés peuvent être pris pendant ou en dehors des repas.</w:t>
      </w:r>
      <w:r w:rsidR="005522C4">
        <w:rPr>
          <w:color w:val="002060"/>
          <w:sz w:val="22"/>
          <w:szCs w:val="20"/>
        </w:rPr>
        <w:t xml:space="preserve"> </w:t>
      </w:r>
      <w:r w:rsidR="0039241B" w:rsidRPr="0039241B">
        <w:rPr>
          <w:b/>
          <w:bCs/>
          <w:color w:val="002060"/>
          <w:sz w:val="22"/>
          <w:szCs w:val="20"/>
          <w:u w:val="single"/>
        </w:rPr>
        <w:t>Informations supplémentaires sur les populations spéciales</w:t>
      </w:r>
      <w:r w:rsidR="00391E39" w:rsidRPr="00B36B1A">
        <w:rPr>
          <w:b/>
          <w:bCs/>
          <w:color w:val="002060"/>
          <w:sz w:val="22"/>
          <w:szCs w:val="20"/>
        </w:rPr>
        <w:t xml:space="preserve"> </w:t>
      </w:r>
      <w:r w:rsidR="00531DC7" w:rsidRPr="0039241B">
        <w:rPr>
          <w:color w:val="002060"/>
          <w:sz w:val="22"/>
        </w:rPr>
        <w:t>●</w:t>
      </w:r>
      <w:r w:rsidR="0039241B" w:rsidRPr="0039241B">
        <w:rPr>
          <w:i/>
          <w:iCs/>
          <w:color w:val="002060"/>
          <w:sz w:val="22"/>
          <w:szCs w:val="20"/>
          <w:u w:val="single"/>
        </w:rPr>
        <w:t>Personnes âgées</w:t>
      </w:r>
      <w:r w:rsidR="0039241B">
        <w:rPr>
          <w:i/>
          <w:iCs/>
          <w:color w:val="002060"/>
          <w:sz w:val="22"/>
          <w:szCs w:val="20"/>
          <w:u w:val="single"/>
        </w:rPr>
        <w:t> :</w:t>
      </w:r>
      <w:r w:rsidR="009F729F">
        <w:rPr>
          <w:i/>
          <w:iCs/>
          <w:color w:val="002060"/>
          <w:sz w:val="22"/>
          <w:szCs w:val="20"/>
          <w:u w:val="single"/>
        </w:rPr>
        <w:t xml:space="preserve"> </w:t>
      </w:r>
      <w:r w:rsidR="0039241B" w:rsidRPr="0039241B">
        <w:rPr>
          <w:color w:val="002060"/>
          <w:sz w:val="22"/>
          <w:szCs w:val="20"/>
        </w:rPr>
        <w:t xml:space="preserve">Aucune étude spécifique n’a été réalisée chez les personnes âgées, mais, d’après l’expérience clinique, aucun ajustement posologique n’est nécessaire lors du traitement de patients âgés en bonne santé par </w:t>
      </w:r>
      <w:proofErr w:type="spellStart"/>
      <w:r w:rsidR="0039241B" w:rsidRPr="0039241B">
        <w:rPr>
          <w:color w:val="002060"/>
          <w:sz w:val="22"/>
          <w:szCs w:val="20"/>
        </w:rPr>
        <w:t>ailleurs.</w:t>
      </w:r>
      <w:r w:rsidR="00531DC7" w:rsidRPr="0039241B">
        <w:rPr>
          <w:color w:val="002060"/>
          <w:sz w:val="22"/>
        </w:rPr>
        <w:t>●</w:t>
      </w:r>
      <w:r w:rsidR="0039241B" w:rsidRPr="0039241B">
        <w:rPr>
          <w:i/>
          <w:iCs/>
          <w:color w:val="002060"/>
          <w:sz w:val="22"/>
          <w:szCs w:val="20"/>
          <w:u w:val="single"/>
        </w:rPr>
        <w:t>Enfants</w:t>
      </w:r>
      <w:proofErr w:type="spellEnd"/>
      <w:r w:rsidR="0039241B" w:rsidRPr="0039241B">
        <w:rPr>
          <w:i/>
          <w:iCs/>
          <w:color w:val="002060"/>
          <w:sz w:val="22"/>
          <w:szCs w:val="20"/>
          <w:u w:val="single"/>
        </w:rPr>
        <w:t xml:space="preserve"> et adolescents</w:t>
      </w:r>
      <w:r w:rsidR="0039241B">
        <w:rPr>
          <w:i/>
          <w:iCs/>
          <w:color w:val="002060"/>
          <w:sz w:val="22"/>
          <w:szCs w:val="20"/>
          <w:u w:val="single"/>
        </w:rPr>
        <w:t> :</w:t>
      </w:r>
      <w:r w:rsidR="005522C4" w:rsidRPr="005522C4">
        <w:rPr>
          <w:i/>
          <w:iCs/>
          <w:color w:val="002060"/>
          <w:sz w:val="22"/>
          <w:szCs w:val="20"/>
        </w:rPr>
        <w:t xml:space="preserve"> </w:t>
      </w:r>
      <w:r w:rsidR="0039241B" w:rsidRPr="0039241B">
        <w:rPr>
          <w:color w:val="002060"/>
          <w:sz w:val="22"/>
          <w:szCs w:val="20"/>
        </w:rPr>
        <w:t>DOLENIO ne doit pas être utilisé chez les enfants et les adolescents de moins de 18 ans en raison de l’insuffisance des données relatives à sa tolérance et son efficacité.</w:t>
      </w:r>
      <w:r w:rsidR="009F729F">
        <w:rPr>
          <w:color w:val="002060"/>
          <w:sz w:val="22"/>
          <w:szCs w:val="20"/>
        </w:rPr>
        <w:t xml:space="preserve"> </w:t>
      </w:r>
      <w:r w:rsidR="00531DC7" w:rsidRPr="0039241B">
        <w:rPr>
          <w:color w:val="002060"/>
          <w:sz w:val="22"/>
        </w:rPr>
        <w:t>●</w:t>
      </w:r>
      <w:r w:rsidR="0039241B" w:rsidRPr="0039241B">
        <w:rPr>
          <w:i/>
          <w:iCs/>
          <w:color w:val="002060"/>
          <w:sz w:val="22"/>
          <w:szCs w:val="20"/>
          <w:u w:val="single"/>
        </w:rPr>
        <w:t>Insuffisants rénaux et/ou hépatiques</w:t>
      </w:r>
      <w:r w:rsidR="0039241B">
        <w:rPr>
          <w:i/>
          <w:iCs/>
          <w:color w:val="002060"/>
          <w:sz w:val="22"/>
          <w:szCs w:val="20"/>
          <w:u w:val="single"/>
        </w:rPr>
        <w:t> :</w:t>
      </w:r>
      <w:r w:rsidR="005522C4" w:rsidRPr="005522C4">
        <w:rPr>
          <w:i/>
          <w:iCs/>
          <w:color w:val="002060"/>
          <w:sz w:val="22"/>
          <w:szCs w:val="20"/>
        </w:rPr>
        <w:t xml:space="preserve"> </w:t>
      </w:r>
      <w:r w:rsidR="0039241B" w:rsidRPr="0039241B">
        <w:rPr>
          <w:color w:val="002060"/>
          <w:sz w:val="22"/>
          <w:szCs w:val="20"/>
        </w:rPr>
        <w:t>Chez les patients atteints d’insuffisance rénale et/ou hépatique, aucune recommandation posologique ne peut être formulée car aucune étude n’a été réalisée dans cette population de patients.</w:t>
      </w:r>
      <w:r w:rsidR="005522C4">
        <w:rPr>
          <w:color w:val="002060"/>
          <w:sz w:val="22"/>
          <w:szCs w:val="20"/>
        </w:rPr>
        <w:t xml:space="preserve"> </w:t>
      </w:r>
      <w:r>
        <w:rPr>
          <w:b/>
          <w:caps/>
          <w:sz w:val="22"/>
        </w:rPr>
        <w:t>Contre-indications</w:t>
      </w:r>
      <w:r w:rsidR="005522C4">
        <w:rPr>
          <w:b/>
          <w:caps/>
          <w:sz w:val="22"/>
        </w:rPr>
        <w:t xml:space="preserve"> </w:t>
      </w:r>
      <w:r w:rsidRPr="0039241B">
        <w:rPr>
          <w:color w:val="002060"/>
          <w:sz w:val="22"/>
        </w:rPr>
        <w:t>●</w:t>
      </w:r>
      <w:r w:rsidR="0039241B" w:rsidRPr="0039241B">
        <w:rPr>
          <w:color w:val="002060"/>
          <w:sz w:val="22"/>
          <w:szCs w:val="20"/>
        </w:rPr>
        <w:t xml:space="preserve">La substance active ayant été obtenue à partir de crustacés, DOLENIO ne doit pas être administré à des patients allergiques aux crustacés. </w:t>
      </w:r>
      <w:r w:rsidR="0039241B" w:rsidRPr="0039241B">
        <w:rPr>
          <w:color w:val="002060"/>
          <w:sz w:val="22"/>
        </w:rPr>
        <w:t>●</w:t>
      </w:r>
      <w:r w:rsidR="0039241B" w:rsidRPr="0039241B">
        <w:rPr>
          <w:color w:val="002060"/>
          <w:sz w:val="22"/>
          <w:szCs w:val="20"/>
        </w:rPr>
        <w:t xml:space="preserve"> Hypersensibilité à la substance active ou à l’un des composants. </w:t>
      </w:r>
      <w:r w:rsidR="0039241B" w:rsidRPr="0039241B">
        <w:rPr>
          <w:color w:val="002060"/>
          <w:sz w:val="22"/>
        </w:rPr>
        <w:t>●</w:t>
      </w:r>
      <w:r w:rsidR="0039241B" w:rsidRPr="0039241B">
        <w:rPr>
          <w:color w:val="002060"/>
          <w:sz w:val="22"/>
          <w:szCs w:val="20"/>
        </w:rPr>
        <w:t> Enfants de moins de 2 ans.</w:t>
      </w:r>
      <w:r w:rsidR="005522C4">
        <w:rPr>
          <w:color w:val="002060"/>
          <w:sz w:val="22"/>
          <w:szCs w:val="20"/>
        </w:rPr>
        <w:t xml:space="preserve"> </w:t>
      </w:r>
      <w:r>
        <w:rPr>
          <w:b/>
          <w:caps/>
          <w:sz w:val="22"/>
        </w:rPr>
        <w:t>Mises en garde et pr</w:t>
      </w:r>
      <w:r>
        <w:rPr>
          <w:b/>
          <w:sz w:val="22"/>
        </w:rPr>
        <w:t>É</w:t>
      </w:r>
      <w:r>
        <w:rPr>
          <w:b/>
          <w:caps/>
          <w:sz w:val="22"/>
        </w:rPr>
        <w:t xml:space="preserve">cautions particulieres D'emploi </w:t>
      </w:r>
      <w:bookmarkStart w:id="1" w:name="_Toc142278920"/>
      <w:r w:rsidR="0039241B" w:rsidRPr="0039241B">
        <w:rPr>
          <w:color w:val="002060"/>
          <w:sz w:val="22"/>
        </w:rPr>
        <w:t>●</w:t>
      </w:r>
      <w:r w:rsidR="0039241B" w:rsidRPr="0039241B">
        <w:rPr>
          <w:color w:val="002060"/>
          <w:sz w:val="22"/>
          <w:szCs w:val="20"/>
        </w:rPr>
        <w:t>Un médecin doit être consulté pour écarter la présence d’une lésion articulaire pour laquelle il convient d’envisager un autre traitement.</w:t>
      </w:r>
      <w:bookmarkEnd w:id="1"/>
      <w:r w:rsidR="009F729F">
        <w:rPr>
          <w:color w:val="002060"/>
          <w:sz w:val="22"/>
          <w:szCs w:val="20"/>
        </w:rPr>
        <w:t xml:space="preserve"> </w:t>
      </w:r>
      <w:r w:rsidR="0039241B" w:rsidRPr="0039241B">
        <w:rPr>
          <w:color w:val="002060"/>
          <w:sz w:val="22"/>
        </w:rPr>
        <w:t>●</w:t>
      </w:r>
      <w:r w:rsidR="0039241B" w:rsidRPr="0039241B">
        <w:rPr>
          <w:color w:val="002060"/>
          <w:sz w:val="22"/>
          <w:szCs w:val="20"/>
        </w:rPr>
        <w:t>Chez les patients présentant une intolérance au glucose, il est recommandé de contrôler les niveaux de glucose sanguin et, si nécessaire, les besoins en insuline avant le début du traitement et à intervalles réguliers au cours du traitement.</w:t>
      </w:r>
      <w:r w:rsidR="009F729F">
        <w:rPr>
          <w:color w:val="002060"/>
          <w:sz w:val="22"/>
          <w:szCs w:val="20"/>
        </w:rPr>
        <w:t xml:space="preserve"> </w:t>
      </w:r>
      <w:r w:rsidR="0039241B" w:rsidRPr="0039241B">
        <w:rPr>
          <w:color w:val="002060"/>
          <w:sz w:val="22"/>
        </w:rPr>
        <w:t>●</w:t>
      </w:r>
      <w:r w:rsidR="0039241B" w:rsidRPr="0039241B">
        <w:rPr>
          <w:color w:val="002060"/>
          <w:sz w:val="22"/>
          <w:szCs w:val="20"/>
        </w:rPr>
        <w:t>Chez les patients présentant des facteurs de risque connu de maladie cardiovasculaire, le contrôle des lipides sanguins est recommandé, une hypercholestérolémie ayant été observée chez certains patients traités à la glucosamine.</w:t>
      </w:r>
      <w:r w:rsidR="009F729F">
        <w:rPr>
          <w:color w:val="002060"/>
          <w:sz w:val="22"/>
          <w:szCs w:val="20"/>
        </w:rPr>
        <w:t xml:space="preserve"> </w:t>
      </w:r>
      <w:r w:rsidR="0039241B" w:rsidRPr="0039241B">
        <w:rPr>
          <w:color w:val="002060"/>
          <w:sz w:val="22"/>
        </w:rPr>
        <w:t>●</w:t>
      </w:r>
      <w:r w:rsidR="0039241B" w:rsidRPr="0039241B">
        <w:rPr>
          <w:color w:val="002060"/>
          <w:sz w:val="22"/>
          <w:szCs w:val="20"/>
        </w:rPr>
        <w:t>Des symptômes d’asthme exacerbés, apparus après l’initiation du traitement à la glucosamine, ont été rapportés (les symptômes ont disparu après la cessation du traitement à la glucosamine). Les patients asthmatiques commençant un traitement à la glucosamine doivent donc être conscients du risque d’une aggravation des symptômes.</w:t>
      </w:r>
      <w:r w:rsidR="009F729F">
        <w:rPr>
          <w:color w:val="002060"/>
          <w:sz w:val="22"/>
          <w:szCs w:val="20"/>
        </w:rPr>
        <w:t xml:space="preserve"> </w:t>
      </w:r>
      <w:r w:rsidR="0039241B" w:rsidRPr="0039241B">
        <w:rPr>
          <w:color w:val="002060"/>
          <w:sz w:val="22"/>
        </w:rPr>
        <w:t>●</w:t>
      </w:r>
      <w:r w:rsidR="0039241B" w:rsidRPr="0039241B">
        <w:rPr>
          <w:color w:val="002060"/>
          <w:sz w:val="22"/>
          <w:szCs w:val="20"/>
        </w:rPr>
        <w:t xml:space="preserve">Ce médicament contient 3,287 </w:t>
      </w:r>
      <w:proofErr w:type="spellStart"/>
      <w:r w:rsidR="0039241B" w:rsidRPr="0039241B">
        <w:rPr>
          <w:color w:val="002060"/>
          <w:sz w:val="22"/>
          <w:szCs w:val="20"/>
        </w:rPr>
        <w:t>mmol</w:t>
      </w:r>
      <w:proofErr w:type="spellEnd"/>
      <w:r w:rsidR="0039241B" w:rsidRPr="0039241B">
        <w:rPr>
          <w:color w:val="002060"/>
          <w:sz w:val="22"/>
          <w:szCs w:val="20"/>
        </w:rPr>
        <w:t xml:space="preserve"> (soit 75,61 mg) de sodium par dose, ce qui doit être pris en considération chez les patients soumis à un régime hyposodé.</w:t>
      </w:r>
      <w:r w:rsidR="005522C4">
        <w:rPr>
          <w:color w:val="002060"/>
          <w:sz w:val="22"/>
          <w:szCs w:val="20"/>
        </w:rPr>
        <w:t xml:space="preserve"> </w:t>
      </w:r>
      <w:r>
        <w:rPr>
          <w:b/>
          <w:caps/>
          <w:sz w:val="22"/>
        </w:rPr>
        <w:t>Int</w:t>
      </w:r>
      <w:r>
        <w:rPr>
          <w:b/>
          <w:sz w:val="22"/>
        </w:rPr>
        <w:t>E</w:t>
      </w:r>
      <w:r>
        <w:rPr>
          <w:b/>
          <w:caps/>
          <w:sz w:val="22"/>
        </w:rPr>
        <w:t>ractions avec d'autres m</w:t>
      </w:r>
      <w:r>
        <w:rPr>
          <w:b/>
          <w:sz w:val="22"/>
        </w:rPr>
        <w:t>É</w:t>
      </w:r>
      <w:r>
        <w:rPr>
          <w:b/>
          <w:caps/>
          <w:sz w:val="22"/>
        </w:rPr>
        <w:t>dicaments et autres formes d'int</w:t>
      </w:r>
      <w:r>
        <w:rPr>
          <w:b/>
          <w:sz w:val="22"/>
        </w:rPr>
        <w:t>E</w:t>
      </w:r>
      <w:r>
        <w:rPr>
          <w:b/>
          <w:caps/>
          <w:sz w:val="22"/>
        </w:rPr>
        <w:t>ractions</w:t>
      </w:r>
      <w:bookmarkStart w:id="2" w:name="_Toc142278921"/>
      <w:r w:rsidR="00B36B1A">
        <w:rPr>
          <w:b/>
          <w:caps/>
          <w:sz w:val="22"/>
        </w:rPr>
        <w:t xml:space="preserve"> </w:t>
      </w:r>
      <w:r w:rsidR="00531DC7" w:rsidRPr="00531DC7">
        <w:rPr>
          <w:color w:val="002060"/>
          <w:sz w:val="22"/>
          <w:szCs w:val="20"/>
        </w:rPr>
        <w:t xml:space="preserve">Lors de traitements concomitants avec la glucosamine, une augmentation de l’effet anticoagulant des médicaments </w:t>
      </w:r>
      <w:proofErr w:type="spellStart"/>
      <w:r w:rsidR="00531DC7" w:rsidRPr="00531DC7">
        <w:rPr>
          <w:color w:val="002060"/>
          <w:sz w:val="22"/>
          <w:szCs w:val="20"/>
        </w:rPr>
        <w:t>coumariniques</w:t>
      </w:r>
      <w:proofErr w:type="spellEnd"/>
      <w:r w:rsidR="00531DC7" w:rsidRPr="00531DC7">
        <w:rPr>
          <w:color w:val="002060"/>
          <w:sz w:val="22"/>
          <w:szCs w:val="20"/>
        </w:rPr>
        <w:t xml:space="preserve"> (comme la </w:t>
      </w:r>
      <w:proofErr w:type="spellStart"/>
      <w:r w:rsidR="00531DC7" w:rsidRPr="00531DC7">
        <w:rPr>
          <w:color w:val="002060"/>
          <w:sz w:val="22"/>
          <w:szCs w:val="20"/>
        </w:rPr>
        <w:t>warfarine</w:t>
      </w:r>
      <w:proofErr w:type="spellEnd"/>
      <w:r w:rsidR="00531DC7" w:rsidRPr="00531DC7">
        <w:rPr>
          <w:color w:val="002060"/>
          <w:sz w:val="22"/>
          <w:szCs w:val="20"/>
        </w:rPr>
        <w:t xml:space="preserve">) a été rapportée. Les patients traités par des anticoagulants </w:t>
      </w:r>
      <w:proofErr w:type="spellStart"/>
      <w:r w:rsidR="00531DC7" w:rsidRPr="00531DC7">
        <w:rPr>
          <w:color w:val="002060"/>
          <w:sz w:val="22"/>
          <w:szCs w:val="20"/>
        </w:rPr>
        <w:t>coumariniques</w:t>
      </w:r>
      <w:proofErr w:type="spellEnd"/>
      <w:r w:rsidR="00531DC7" w:rsidRPr="00531DC7">
        <w:rPr>
          <w:color w:val="002060"/>
          <w:sz w:val="22"/>
          <w:szCs w:val="20"/>
        </w:rPr>
        <w:t xml:space="preserve"> doivent donc être surveillés de près lorsqu’ils commencent ou terminent un traitement à base de glucosamine.</w:t>
      </w:r>
      <w:bookmarkEnd w:id="2"/>
      <w:r w:rsidR="009F729F">
        <w:rPr>
          <w:color w:val="002060"/>
          <w:sz w:val="22"/>
          <w:szCs w:val="20"/>
        </w:rPr>
        <w:t xml:space="preserve"> </w:t>
      </w:r>
      <w:r w:rsidR="00531DC7" w:rsidRPr="00531DC7">
        <w:rPr>
          <w:color w:val="002060"/>
          <w:sz w:val="22"/>
          <w:szCs w:val="20"/>
        </w:rPr>
        <w:t>Un traitement concomitant à la glucosamine peut augmenter l’absorption et la concentration sérique des tétracyclines, mais la pertinence clinique de cette interaction est probablement limitée.</w:t>
      </w:r>
      <w:r w:rsidR="009F729F">
        <w:rPr>
          <w:color w:val="002060"/>
          <w:sz w:val="22"/>
          <w:szCs w:val="20"/>
        </w:rPr>
        <w:t xml:space="preserve"> </w:t>
      </w:r>
      <w:r w:rsidR="00531DC7" w:rsidRPr="00531DC7">
        <w:rPr>
          <w:color w:val="002060"/>
          <w:sz w:val="22"/>
          <w:szCs w:val="20"/>
        </w:rPr>
        <w:t>En raison de données limitées concernant les éventuelles interactions médicamenteuses avec la glucosamine, il convient généralement d’être conscient d’une réponse ou d’une concentration modifiée des médicaments utilisés de manière concomitante</w:t>
      </w:r>
      <w:r w:rsidR="00531DC7">
        <w:rPr>
          <w:color w:val="002060"/>
          <w:sz w:val="22"/>
          <w:szCs w:val="20"/>
        </w:rPr>
        <w:t>.</w:t>
      </w:r>
      <w:bookmarkStart w:id="3" w:name="RcpGrossAllait"/>
      <w:bookmarkStart w:id="4" w:name="_Toc142278926"/>
      <w:r w:rsidR="005522C4">
        <w:rPr>
          <w:color w:val="002060"/>
          <w:sz w:val="22"/>
          <w:szCs w:val="20"/>
        </w:rPr>
        <w:t xml:space="preserve"> </w:t>
      </w:r>
      <w:r w:rsidR="00531DC7" w:rsidRPr="00531DC7">
        <w:rPr>
          <w:b/>
          <w:caps/>
          <w:sz w:val="22"/>
        </w:rPr>
        <w:t>Grossesse et allaitement</w:t>
      </w:r>
      <w:bookmarkEnd w:id="3"/>
      <w:r w:rsidR="005522C4">
        <w:rPr>
          <w:b/>
          <w:caps/>
          <w:sz w:val="22"/>
        </w:rPr>
        <w:t xml:space="preserve"> </w:t>
      </w:r>
      <w:r w:rsidR="00531DC7" w:rsidRPr="00531DC7">
        <w:rPr>
          <w:i/>
          <w:color w:val="002060"/>
          <w:sz w:val="22"/>
          <w:szCs w:val="20"/>
          <w:u w:val="single"/>
        </w:rPr>
        <w:t>Grossesse</w:t>
      </w:r>
      <w:bookmarkEnd w:id="4"/>
      <w:r w:rsidR="00531DC7">
        <w:rPr>
          <w:i/>
          <w:color w:val="002060"/>
          <w:sz w:val="22"/>
          <w:szCs w:val="20"/>
          <w:u w:val="single"/>
        </w:rPr>
        <w:t> :</w:t>
      </w:r>
      <w:r w:rsidR="005522C4" w:rsidRPr="005522C4">
        <w:rPr>
          <w:i/>
          <w:color w:val="002060"/>
          <w:sz w:val="22"/>
          <w:szCs w:val="20"/>
        </w:rPr>
        <w:t xml:space="preserve"> </w:t>
      </w:r>
      <w:r w:rsidR="00531DC7" w:rsidRPr="00531DC7">
        <w:rPr>
          <w:color w:val="002060"/>
          <w:sz w:val="22"/>
          <w:szCs w:val="20"/>
        </w:rPr>
        <w:t>Il n’existe pas de données suffisamment pertinentes concernant l’utilisation de la glucosamine chez la femme enceinte. Les études chez l’animal n’ont pas fourni de données suffisantes. La glucosamine ne doit donc pas être utilisée pendant la grossesse.</w:t>
      </w:r>
      <w:bookmarkStart w:id="5" w:name="_Toc142278927"/>
      <w:r w:rsidR="009F729F">
        <w:rPr>
          <w:color w:val="002060"/>
          <w:sz w:val="22"/>
          <w:szCs w:val="20"/>
        </w:rPr>
        <w:t xml:space="preserve"> </w:t>
      </w:r>
      <w:r w:rsidR="00531DC7" w:rsidRPr="00531DC7">
        <w:rPr>
          <w:i/>
          <w:color w:val="002060"/>
          <w:sz w:val="22"/>
          <w:szCs w:val="20"/>
          <w:u w:val="single"/>
        </w:rPr>
        <w:t>Allaitement</w:t>
      </w:r>
      <w:bookmarkEnd w:id="5"/>
      <w:r w:rsidR="00531DC7">
        <w:rPr>
          <w:i/>
          <w:color w:val="002060"/>
          <w:sz w:val="22"/>
          <w:szCs w:val="20"/>
          <w:u w:val="single"/>
        </w:rPr>
        <w:t> </w:t>
      </w:r>
      <w:r w:rsidR="00531DC7">
        <w:rPr>
          <w:color w:val="002060"/>
          <w:sz w:val="22"/>
          <w:szCs w:val="20"/>
        </w:rPr>
        <w:t xml:space="preserve">: </w:t>
      </w:r>
      <w:r w:rsidR="00531DC7" w:rsidRPr="00531DC7">
        <w:rPr>
          <w:color w:val="002060"/>
          <w:sz w:val="22"/>
          <w:szCs w:val="20"/>
        </w:rPr>
        <w:t>Aucune donnée n’est disponible sur l’excrétion de la glucosamine dans le lait humain.</w:t>
      </w:r>
      <w:r w:rsidR="009F729F">
        <w:rPr>
          <w:color w:val="002060"/>
          <w:sz w:val="22"/>
          <w:szCs w:val="20"/>
        </w:rPr>
        <w:t xml:space="preserve"> </w:t>
      </w:r>
      <w:r w:rsidR="00531DC7" w:rsidRPr="00531DC7">
        <w:rPr>
          <w:color w:val="002060"/>
          <w:sz w:val="22"/>
          <w:szCs w:val="20"/>
        </w:rPr>
        <w:t xml:space="preserve">L’utilisation de la glucosamine pendant l’allaitement est donc </w:t>
      </w:r>
      <w:proofErr w:type="gramStart"/>
      <w:r w:rsidR="00531DC7" w:rsidRPr="00531DC7">
        <w:rPr>
          <w:color w:val="002060"/>
          <w:sz w:val="22"/>
          <w:szCs w:val="20"/>
        </w:rPr>
        <w:t>déconseillée</w:t>
      </w:r>
      <w:proofErr w:type="gramEnd"/>
      <w:r w:rsidR="00531DC7" w:rsidRPr="00531DC7">
        <w:rPr>
          <w:color w:val="002060"/>
          <w:sz w:val="22"/>
          <w:szCs w:val="20"/>
        </w:rPr>
        <w:t xml:space="preserve"> en raison de l’absence de données sur la sécurité du nourrisson.</w:t>
      </w:r>
      <w:r w:rsidR="005522C4">
        <w:rPr>
          <w:color w:val="002060"/>
          <w:sz w:val="22"/>
          <w:szCs w:val="20"/>
        </w:rPr>
        <w:t xml:space="preserve"> </w:t>
      </w:r>
      <w:r>
        <w:rPr>
          <w:b/>
          <w:caps/>
          <w:sz w:val="22"/>
        </w:rPr>
        <w:t xml:space="preserve">Effets sur l'aptitude </w:t>
      </w:r>
      <w:r>
        <w:rPr>
          <w:b/>
          <w:sz w:val="22"/>
        </w:rPr>
        <w:t>À</w:t>
      </w:r>
      <w:r>
        <w:rPr>
          <w:b/>
          <w:caps/>
          <w:sz w:val="22"/>
        </w:rPr>
        <w:t xml:space="preserve"> conduire des v</w:t>
      </w:r>
      <w:r>
        <w:rPr>
          <w:b/>
          <w:sz w:val="22"/>
        </w:rPr>
        <w:t>É</w:t>
      </w:r>
      <w:r>
        <w:rPr>
          <w:b/>
          <w:caps/>
          <w:sz w:val="22"/>
        </w:rPr>
        <w:t xml:space="preserve">hicules et </w:t>
      </w:r>
      <w:r>
        <w:rPr>
          <w:b/>
          <w:sz w:val="22"/>
        </w:rPr>
        <w:t>À</w:t>
      </w:r>
      <w:r>
        <w:rPr>
          <w:b/>
          <w:caps/>
          <w:sz w:val="22"/>
        </w:rPr>
        <w:t xml:space="preserve"> utiliser des machines </w:t>
      </w:r>
      <w:r w:rsidR="00531DC7" w:rsidRPr="00531DC7">
        <w:rPr>
          <w:color w:val="002060"/>
          <w:sz w:val="22"/>
          <w:szCs w:val="20"/>
        </w:rPr>
        <w:t>Les effets sur l’aptitude à conduire des véhicules ou à utiliser des machines n’ont pas été étudiés.</w:t>
      </w:r>
      <w:r w:rsidR="009F729F">
        <w:rPr>
          <w:color w:val="002060"/>
          <w:sz w:val="22"/>
          <w:szCs w:val="20"/>
        </w:rPr>
        <w:t xml:space="preserve"> </w:t>
      </w:r>
      <w:r w:rsidR="00531DC7" w:rsidRPr="00531DC7">
        <w:rPr>
          <w:color w:val="002060"/>
          <w:sz w:val="22"/>
          <w:szCs w:val="20"/>
        </w:rPr>
        <w:t xml:space="preserve">En cas de survenue de vertiges ou d’une somnolence, il est </w:t>
      </w:r>
      <w:r w:rsidR="00531DC7" w:rsidRPr="00531DC7">
        <w:rPr>
          <w:color w:val="002060"/>
          <w:sz w:val="22"/>
          <w:szCs w:val="20"/>
        </w:rPr>
        <w:lastRenderedPageBreak/>
        <w:t>déconseillé de conduire un véhicule et d’utiliser des machines.</w:t>
      </w:r>
      <w:r w:rsidR="005522C4">
        <w:rPr>
          <w:color w:val="002060"/>
          <w:sz w:val="22"/>
          <w:szCs w:val="20"/>
        </w:rPr>
        <w:t xml:space="preserve"> </w:t>
      </w:r>
      <w:r w:rsidR="00F97FF0" w:rsidRPr="004238F5">
        <w:rPr>
          <w:b/>
          <w:caps/>
          <w:sz w:val="22"/>
        </w:rPr>
        <w:t>Effets ind</w:t>
      </w:r>
      <w:r w:rsidR="00F97FF0" w:rsidRPr="004238F5">
        <w:rPr>
          <w:b/>
          <w:sz w:val="22"/>
        </w:rPr>
        <w:t>É</w:t>
      </w:r>
      <w:r w:rsidR="00F97FF0" w:rsidRPr="004238F5">
        <w:rPr>
          <w:b/>
          <w:caps/>
          <w:sz w:val="22"/>
        </w:rPr>
        <w:t>sirables</w:t>
      </w:r>
      <w:r w:rsidR="005522C4">
        <w:rPr>
          <w:b/>
          <w:caps/>
          <w:sz w:val="22"/>
        </w:rPr>
        <w:t xml:space="preserve"> </w:t>
      </w:r>
      <w:r w:rsidR="00531DC7" w:rsidRPr="00531DC7">
        <w:rPr>
          <w:color w:val="002060"/>
          <w:sz w:val="22"/>
          <w:szCs w:val="20"/>
        </w:rPr>
        <w:t>Les effets indésirables les plus fréquemment associés au traitement par la glucosamine sont les nausées, les douleurs abdominales, les troubles de la digestion, la constipation et la diarrhée. Des cas de céphalées, de fatigue, d’éruption cutanée, de prurit et de bouffées vasomotrices ont également été rapportés. Les effets indésirables rapportés sont généralement légers et transitoires.</w:t>
      </w:r>
      <w:r w:rsidR="005522C4">
        <w:rPr>
          <w:color w:val="002060"/>
          <w:sz w:val="22"/>
          <w:szCs w:val="20"/>
        </w:rPr>
        <w:t xml:space="preserve"> </w:t>
      </w:r>
      <w:r w:rsidR="00531DC7" w:rsidRPr="00531DC7">
        <w:rPr>
          <w:color w:val="002060"/>
          <w:sz w:val="22"/>
          <w:szCs w:val="20"/>
        </w:rPr>
        <w:t>Le tableau ci-dessous présente tous les effets indésirables listés par classe d’organe et par fréquence (très fréquent ≥ 1/10 ; fréquent ≥ 1/100, ≤ 1/10 ; peu fréquent ≥ 1 000, ≤ 1/100 ; rare ≥ 1/10 000, ≤ 1/1 000 ; très rare &lt; 1/10 000 ; fréquence indéterminée (ne peut être estimée sur la base des données disponibles)).</w:t>
      </w:r>
    </w:p>
    <w:p w:rsidR="00531DC7" w:rsidRDefault="00531DC7" w:rsidP="00C044A5">
      <w:pPr>
        <w:spacing w:line="260" w:lineRule="atLeast"/>
        <w:jc w:val="both"/>
        <w:rPr>
          <w:b/>
          <w:bCs/>
          <w:sz w:val="22"/>
          <w:szCs w:val="22"/>
        </w:rPr>
      </w:pPr>
    </w:p>
    <w:tbl>
      <w:tblPr>
        <w:tblW w:w="0" w:type="auto"/>
        <w:jc w:val="center"/>
        <w:tblCellMar>
          <w:left w:w="0" w:type="dxa"/>
          <w:right w:w="0" w:type="dxa"/>
        </w:tblCellMar>
        <w:tblLook w:val="04A0" w:firstRow="1" w:lastRow="0" w:firstColumn="1" w:lastColumn="0" w:noHBand="0" w:noVBand="1"/>
      </w:tblPr>
      <w:tblGrid>
        <w:gridCol w:w="2289"/>
        <w:gridCol w:w="2451"/>
        <w:gridCol w:w="2454"/>
        <w:gridCol w:w="2400"/>
      </w:tblGrid>
      <w:tr w:rsidR="00531DC7" w:rsidRPr="00531DC7" w:rsidTr="00531DC7">
        <w:trPr>
          <w:jc w:val="center"/>
        </w:trPr>
        <w:tc>
          <w:tcPr>
            <w:tcW w:w="2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b/>
                <w:bCs/>
                <w:color w:val="002060"/>
                <w:sz w:val="22"/>
                <w:szCs w:val="22"/>
              </w:rPr>
            </w:pPr>
            <w:r w:rsidRPr="00531DC7">
              <w:rPr>
                <w:b/>
                <w:bCs/>
                <w:color w:val="002060"/>
                <w:sz w:val="22"/>
                <w:szCs w:val="22"/>
              </w:rPr>
              <w:t>Classes de systèmes d’organe</w:t>
            </w:r>
          </w:p>
        </w:tc>
        <w:tc>
          <w:tcPr>
            <w:tcW w:w="2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b/>
                <w:bCs/>
                <w:color w:val="002060"/>
                <w:sz w:val="22"/>
                <w:szCs w:val="22"/>
              </w:rPr>
            </w:pPr>
            <w:r w:rsidRPr="00531DC7">
              <w:rPr>
                <w:b/>
                <w:bCs/>
                <w:color w:val="002060"/>
                <w:sz w:val="22"/>
                <w:szCs w:val="22"/>
              </w:rPr>
              <w:t>Fréquent</w:t>
            </w:r>
          </w:p>
          <w:p w:rsidR="00531DC7" w:rsidRPr="00531DC7" w:rsidRDefault="00531DC7" w:rsidP="00531DC7">
            <w:pPr>
              <w:jc w:val="center"/>
              <w:rPr>
                <w:b/>
                <w:bCs/>
                <w:color w:val="002060"/>
                <w:sz w:val="22"/>
                <w:szCs w:val="22"/>
              </w:rPr>
            </w:pPr>
            <w:r w:rsidRPr="00531DC7">
              <w:rPr>
                <w:b/>
                <w:bCs/>
                <w:color w:val="002060"/>
                <w:sz w:val="22"/>
                <w:szCs w:val="22"/>
              </w:rPr>
              <w:t>(≥ 1/100, &lt;1/10)</w:t>
            </w:r>
          </w:p>
        </w:tc>
        <w:tc>
          <w:tcPr>
            <w:tcW w:w="2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b/>
                <w:bCs/>
                <w:color w:val="002060"/>
                <w:sz w:val="22"/>
                <w:szCs w:val="22"/>
              </w:rPr>
            </w:pPr>
            <w:r w:rsidRPr="00531DC7">
              <w:rPr>
                <w:b/>
                <w:bCs/>
                <w:color w:val="002060"/>
                <w:sz w:val="22"/>
                <w:szCs w:val="22"/>
              </w:rPr>
              <w:t>Peu fréquent</w:t>
            </w:r>
          </w:p>
          <w:p w:rsidR="00531DC7" w:rsidRPr="00531DC7" w:rsidRDefault="00531DC7" w:rsidP="00531DC7">
            <w:pPr>
              <w:jc w:val="center"/>
              <w:rPr>
                <w:b/>
                <w:bCs/>
                <w:color w:val="002060"/>
                <w:sz w:val="22"/>
                <w:szCs w:val="22"/>
              </w:rPr>
            </w:pPr>
            <w:r w:rsidRPr="00531DC7">
              <w:rPr>
                <w:b/>
                <w:bCs/>
                <w:color w:val="002060"/>
                <w:sz w:val="22"/>
                <w:szCs w:val="22"/>
              </w:rPr>
              <w:t>(≥ 1/1000, &lt; 1/100)</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b/>
                <w:bCs/>
                <w:color w:val="002060"/>
                <w:sz w:val="22"/>
                <w:szCs w:val="22"/>
              </w:rPr>
            </w:pPr>
            <w:r w:rsidRPr="00531DC7">
              <w:rPr>
                <w:b/>
                <w:bCs/>
                <w:color w:val="002060"/>
                <w:sz w:val="22"/>
                <w:szCs w:val="22"/>
              </w:rPr>
              <w:t>Fréquence indéterminée</w:t>
            </w:r>
          </w:p>
          <w:p w:rsidR="00531DC7" w:rsidRPr="00531DC7" w:rsidRDefault="00531DC7" w:rsidP="00531DC7">
            <w:pPr>
              <w:jc w:val="center"/>
              <w:rPr>
                <w:b/>
                <w:bCs/>
                <w:color w:val="002060"/>
                <w:sz w:val="22"/>
                <w:szCs w:val="22"/>
              </w:rPr>
            </w:pPr>
            <w:r w:rsidRPr="00531DC7">
              <w:rPr>
                <w:b/>
                <w:bCs/>
                <w:color w:val="002060"/>
                <w:sz w:val="22"/>
                <w:szCs w:val="22"/>
              </w:rPr>
              <w:t>(ne peut être estimée sur la base des données disponibles)</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Affections du système nerveux</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Maux de tête</w:t>
            </w:r>
          </w:p>
          <w:p w:rsidR="00531DC7" w:rsidRPr="00531DC7" w:rsidRDefault="00531DC7" w:rsidP="00531DC7">
            <w:pPr>
              <w:jc w:val="center"/>
              <w:rPr>
                <w:color w:val="002060"/>
                <w:sz w:val="22"/>
                <w:szCs w:val="22"/>
              </w:rPr>
            </w:pPr>
            <w:r w:rsidRPr="00531DC7">
              <w:rPr>
                <w:color w:val="002060"/>
                <w:sz w:val="22"/>
                <w:szCs w:val="22"/>
              </w:rPr>
              <w:t>Fatigue</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Vertiges</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Affections respiratoires, thoraciques et médiastinales</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Asthme/Aggravation de l’asthme</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Affections gastro-intestinales</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Nausées</w:t>
            </w:r>
          </w:p>
          <w:p w:rsidR="00531DC7" w:rsidRPr="00531DC7" w:rsidRDefault="00531DC7" w:rsidP="00531DC7">
            <w:pPr>
              <w:jc w:val="center"/>
              <w:rPr>
                <w:color w:val="002060"/>
                <w:sz w:val="22"/>
                <w:szCs w:val="22"/>
              </w:rPr>
            </w:pPr>
            <w:r w:rsidRPr="00531DC7">
              <w:rPr>
                <w:color w:val="002060"/>
                <w:sz w:val="22"/>
                <w:szCs w:val="22"/>
              </w:rPr>
              <w:t>Douleur abdominale</w:t>
            </w:r>
          </w:p>
          <w:p w:rsidR="00531DC7" w:rsidRPr="00531DC7" w:rsidRDefault="00531DC7" w:rsidP="00531DC7">
            <w:pPr>
              <w:jc w:val="center"/>
              <w:rPr>
                <w:color w:val="002060"/>
                <w:sz w:val="22"/>
                <w:szCs w:val="22"/>
              </w:rPr>
            </w:pPr>
            <w:r w:rsidRPr="00531DC7">
              <w:rPr>
                <w:color w:val="002060"/>
                <w:sz w:val="22"/>
                <w:szCs w:val="22"/>
              </w:rPr>
              <w:t>Digestion difficile</w:t>
            </w:r>
          </w:p>
          <w:p w:rsidR="00531DC7" w:rsidRPr="00531DC7" w:rsidRDefault="00531DC7" w:rsidP="00531DC7">
            <w:pPr>
              <w:jc w:val="center"/>
              <w:rPr>
                <w:color w:val="002060"/>
                <w:sz w:val="22"/>
                <w:szCs w:val="22"/>
              </w:rPr>
            </w:pPr>
            <w:r w:rsidRPr="00531DC7">
              <w:rPr>
                <w:color w:val="002060"/>
                <w:sz w:val="22"/>
                <w:szCs w:val="22"/>
              </w:rPr>
              <w:t>Diarrhée</w:t>
            </w:r>
          </w:p>
          <w:p w:rsidR="00531DC7" w:rsidRPr="00531DC7" w:rsidRDefault="00531DC7" w:rsidP="00531DC7">
            <w:pPr>
              <w:jc w:val="center"/>
              <w:rPr>
                <w:color w:val="002060"/>
                <w:sz w:val="22"/>
                <w:szCs w:val="22"/>
              </w:rPr>
            </w:pPr>
            <w:r w:rsidRPr="00531DC7">
              <w:rPr>
                <w:color w:val="002060"/>
                <w:sz w:val="22"/>
                <w:szCs w:val="22"/>
              </w:rPr>
              <w:t>Constipation</w:t>
            </w: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Vomissements</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Affections de la peau et du tissu sous-cutané</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Eruption cutanée</w:t>
            </w:r>
          </w:p>
          <w:p w:rsidR="00531DC7" w:rsidRPr="00531DC7" w:rsidRDefault="00531DC7" w:rsidP="00531DC7">
            <w:pPr>
              <w:jc w:val="center"/>
              <w:rPr>
                <w:color w:val="002060"/>
                <w:sz w:val="22"/>
                <w:szCs w:val="22"/>
              </w:rPr>
            </w:pPr>
            <w:r w:rsidRPr="00531DC7">
              <w:rPr>
                <w:color w:val="002060"/>
                <w:sz w:val="22"/>
                <w:szCs w:val="22"/>
              </w:rPr>
              <w:t>Prurit</w:t>
            </w:r>
          </w:p>
          <w:p w:rsidR="00531DC7" w:rsidRPr="00531DC7" w:rsidRDefault="00531DC7" w:rsidP="00531DC7">
            <w:pPr>
              <w:jc w:val="center"/>
              <w:rPr>
                <w:color w:val="002060"/>
                <w:sz w:val="22"/>
                <w:szCs w:val="22"/>
              </w:rPr>
            </w:pPr>
            <w:r w:rsidRPr="00531DC7">
              <w:rPr>
                <w:color w:val="002060"/>
                <w:sz w:val="22"/>
                <w:szCs w:val="22"/>
              </w:rPr>
              <w:t>Bouffées vasomotrices</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roofErr w:type="spellStart"/>
            <w:r w:rsidRPr="00531DC7">
              <w:rPr>
                <w:color w:val="002060"/>
                <w:sz w:val="22"/>
                <w:szCs w:val="22"/>
              </w:rPr>
              <w:t>Angioedème</w:t>
            </w:r>
            <w:proofErr w:type="spellEnd"/>
          </w:p>
          <w:p w:rsidR="00531DC7" w:rsidRPr="00531DC7" w:rsidRDefault="00531DC7" w:rsidP="00531DC7">
            <w:pPr>
              <w:jc w:val="center"/>
              <w:rPr>
                <w:color w:val="002060"/>
                <w:sz w:val="22"/>
                <w:szCs w:val="22"/>
              </w:rPr>
            </w:pPr>
            <w:r w:rsidRPr="00531DC7">
              <w:rPr>
                <w:color w:val="002060"/>
                <w:sz w:val="22"/>
                <w:szCs w:val="22"/>
              </w:rPr>
              <w:t>Urticaire</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Troubles du métabolisme et de la nutrition</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Diabète mal contrôlé</w:t>
            </w:r>
          </w:p>
          <w:p w:rsidR="00531DC7" w:rsidRPr="00531DC7" w:rsidRDefault="00531DC7" w:rsidP="00531DC7">
            <w:pPr>
              <w:jc w:val="center"/>
              <w:rPr>
                <w:color w:val="002060"/>
                <w:sz w:val="22"/>
                <w:szCs w:val="22"/>
              </w:rPr>
            </w:pPr>
            <w:r w:rsidRPr="00531DC7">
              <w:rPr>
                <w:color w:val="002060"/>
                <w:sz w:val="22"/>
                <w:szCs w:val="22"/>
              </w:rPr>
              <w:t>Hypercholestérolémie</w:t>
            </w:r>
          </w:p>
        </w:tc>
      </w:tr>
      <w:tr w:rsidR="00531DC7" w:rsidRPr="00531DC7" w:rsidTr="00531DC7">
        <w:trPr>
          <w:jc w:val="center"/>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Troubles généraux et anomalies au site d’administration</w:t>
            </w:r>
          </w:p>
        </w:tc>
        <w:tc>
          <w:tcPr>
            <w:tcW w:w="2451"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54"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531DC7" w:rsidRPr="00531DC7" w:rsidRDefault="00531DC7" w:rsidP="00531DC7">
            <w:pPr>
              <w:jc w:val="center"/>
              <w:rPr>
                <w:color w:val="002060"/>
                <w:sz w:val="22"/>
                <w:szCs w:val="22"/>
              </w:rPr>
            </w:pPr>
            <w:r w:rsidRPr="00531DC7">
              <w:rPr>
                <w:color w:val="002060"/>
                <w:sz w:val="22"/>
                <w:szCs w:val="22"/>
              </w:rPr>
              <w:t>Œdème / œdèmes périphériques</w:t>
            </w:r>
          </w:p>
        </w:tc>
      </w:tr>
    </w:tbl>
    <w:p w:rsidR="00C044A5" w:rsidRPr="003C70D8" w:rsidRDefault="00531DC7" w:rsidP="00B500FF">
      <w:pPr>
        <w:spacing w:before="120"/>
        <w:jc w:val="both"/>
        <w:rPr>
          <w:color w:val="002060"/>
          <w:sz w:val="22"/>
        </w:rPr>
      </w:pPr>
      <w:r w:rsidRPr="00531DC7">
        <w:rPr>
          <w:color w:val="002060"/>
          <w:sz w:val="22"/>
        </w:rPr>
        <w:t>Des cas d’hypercholestérolémie, d’aggravation de l’asthme et du diabète non-contrôlé ont été rapportés, mais aucune relation de cause à effet n’a pu être établie. DOLENIO peut induire une élévation des enzymes hépatiques et, dans de rares cas, un ictère.</w:t>
      </w:r>
      <w:r w:rsidR="009F729F">
        <w:rPr>
          <w:color w:val="002060"/>
          <w:sz w:val="22"/>
        </w:rPr>
        <w:t xml:space="preserve"> </w:t>
      </w:r>
      <w:r w:rsidR="00D2136A" w:rsidRPr="00D2136A">
        <w:rPr>
          <w:b/>
          <w:color w:val="002060"/>
          <w:sz w:val="22"/>
          <w:u w:val="single"/>
        </w:rPr>
        <w:t>Patients atteints de diabète sucré :</w:t>
      </w:r>
      <w:r w:rsidR="00D2136A" w:rsidRPr="00D2136A">
        <w:rPr>
          <w:color w:val="002060"/>
          <w:sz w:val="22"/>
        </w:rPr>
        <w:t xml:space="preserve"> Détérioration du contrôle glycémique chez les patients diabétiques, dont la fréquence n’est pas connue.</w:t>
      </w:r>
      <w:bookmarkStart w:id="6" w:name="RcpSurdosage"/>
      <w:r w:rsidR="005522C4">
        <w:rPr>
          <w:color w:val="002060"/>
          <w:sz w:val="22"/>
        </w:rPr>
        <w:t xml:space="preserve"> </w:t>
      </w:r>
      <w:r w:rsidR="00D2136A" w:rsidRPr="00D2136A">
        <w:rPr>
          <w:b/>
          <w:caps/>
          <w:sz w:val="22"/>
          <w:szCs w:val="24"/>
        </w:rPr>
        <w:t>Surdosage</w:t>
      </w:r>
      <w:bookmarkEnd w:id="6"/>
      <w:r w:rsidR="00D2136A">
        <w:rPr>
          <w:b/>
          <w:caps/>
          <w:sz w:val="22"/>
        </w:rPr>
        <w:t> </w:t>
      </w:r>
      <w:r w:rsidR="00D2136A" w:rsidRPr="00D2136A">
        <w:rPr>
          <w:color w:val="002060"/>
          <w:sz w:val="22"/>
        </w:rPr>
        <w:t>Les signes et symptômes associés à un surdosage accidentel ou intentionnel de glucosamine peuvent inclure : maux de tête, vertige, désorientation, arthralgie, nausée, vomissement, diarrhée ou constipation.</w:t>
      </w:r>
      <w:r w:rsidR="009F729F">
        <w:rPr>
          <w:color w:val="002060"/>
          <w:sz w:val="22"/>
        </w:rPr>
        <w:t xml:space="preserve"> </w:t>
      </w:r>
      <w:r w:rsidR="00D2136A" w:rsidRPr="00D2136A">
        <w:rPr>
          <w:color w:val="002060"/>
          <w:sz w:val="22"/>
        </w:rPr>
        <w:t>En cas de surdosage, le traitement par la glucosamine doit être interrompu et une prise en charge médicale doit être entreprise si nécessaire.</w:t>
      </w:r>
      <w:r w:rsidR="009F729F">
        <w:rPr>
          <w:color w:val="002060"/>
          <w:sz w:val="22"/>
        </w:rPr>
        <w:t xml:space="preserve"> </w:t>
      </w:r>
      <w:r w:rsidR="00D2136A" w:rsidRPr="00D2136A">
        <w:rPr>
          <w:color w:val="002060"/>
          <w:sz w:val="22"/>
        </w:rPr>
        <w:t>Au cours des essais cliniques, un sujet sain jeune sur cinq a ressenti des céphalées après une perfusion d’une dose de glucosamine allant jusqu’à 30 g.</w:t>
      </w:r>
      <w:r w:rsidR="009F729F">
        <w:rPr>
          <w:color w:val="002060"/>
          <w:sz w:val="22"/>
        </w:rPr>
        <w:t xml:space="preserve"> </w:t>
      </w:r>
      <w:r w:rsidR="00D2136A" w:rsidRPr="00D2136A">
        <w:rPr>
          <w:color w:val="002060"/>
          <w:sz w:val="22"/>
        </w:rPr>
        <w:t>De plus, un cas de surdosage a été rapporté chez une fillette de 12 ans suite à une prise orale de 28 g de chlorhydrate de glucosamine. Les symptômes observés étaient les suivants : arthralgie, vomissement et désorientation spatio-temporelle. L’évolution a été favorable.</w:t>
      </w:r>
      <w:bookmarkStart w:id="7" w:name="RcpPropPharmacologie"/>
      <w:bookmarkEnd w:id="7"/>
      <w:r w:rsidR="005522C4">
        <w:rPr>
          <w:color w:val="002060"/>
          <w:sz w:val="22"/>
        </w:rPr>
        <w:t xml:space="preserve"> </w:t>
      </w:r>
      <w:r w:rsidR="00D2136A" w:rsidRPr="00D2136A">
        <w:rPr>
          <w:b/>
          <w:bCs/>
          <w:sz w:val="22"/>
        </w:rPr>
        <w:t>PROPRIETES PHARMACOLOGIQUES</w:t>
      </w:r>
      <w:r w:rsidR="00D2136A">
        <w:rPr>
          <w:b/>
          <w:bCs/>
          <w:sz w:val="22"/>
        </w:rPr>
        <w:t> </w:t>
      </w:r>
      <w:r w:rsidR="00D2136A">
        <w:rPr>
          <w:b/>
          <w:sz w:val="22"/>
        </w:rPr>
        <w:t>:</w:t>
      </w:r>
      <w:r w:rsidR="005522C4">
        <w:rPr>
          <w:b/>
          <w:sz w:val="22"/>
        </w:rPr>
        <w:t xml:space="preserve"> </w:t>
      </w:r>
      <w:r w:rsidR="00D2136A" w:rsidRPr="00326331">
        <w:rPr>
          <w:b/>
          <w:color w:val="002060"/>
          <w:sz w:val="22"/>
          <w:u w:val="single"/>
        </w:rPr>
        <w:t>Propriétés</w:t>
      </w:r>
      <w:r w:rsidR="00391E39">
        <w:rPr>
          <w:b/>
          <w:color w:val="002060"/>
          <w:sz w:val="22"/>
          <w:u w:val="single"/>
        </w:rPr>
        <w:t xml:space="preserve"> </w:t>
      </w:r>
      <w:r w:rsidR="00D2136A" w:rsidRPr="00326331">
        <w:rPr>
          <w:b/>
          <w:color w:val="002060"/>
          <w:sz w:val="22"/>
          <w:u w:val="single"/>
        </w:rPr>
        <w:t>pharmacodynamiques :</w:t>
      </w:r>
      <w:r w:rsidR="009F729F" w:rsidRPr="009F729F">
        <w:rPr>
          <w:b/>
          <w:color w:val="002060"/>
          <w:sz w:val="22"/>
        </w:rPr>
        <w:t xml:space="preserve"> </w:t>
      </w:r>
      <w:r w:rsidR="00D2136A" w:rsidRPr="00D2136A">
        <w:rPr>
          <w:color w:val="002060"/>
          <w:sz w:val="22"/>
        </w:rPr>
        <w:t xml:space="preserve">Classe </w:t>
      </w:r>
      <w:proofErr w:type="spellStart"/>
      <w:r w:rsidR="00D2136A" w:rsidRPr="00D2136A">
        <w:rPr>
          <w:color w:val="002060"/>
          <w:sz w:val="22"/>
        </w:rPr>
        <w:t>pharmacothérapeutique</w:t>
      </w:r>
      <w:proofErr w:type="spellEnd"/>
      <w:r w:rsidR="00D2136A" w:rsidRPr="00D2136A">
        <w:rPr>
          <w:color w:val="002060"/>
          <w:sz w:val="22"/>
        </w:rPr>
        <w:t xml:space="preserve"> : </w:t>
      </w:r>
      <w:r w:rsidR="00D2136A" w:rsidRPr="00D2136A">
        <w:rPr>
          <w:caps/>
          <w:color w:val="002060"/>
          <w:sz w:val="22"/>
        </w:rPr>
        <w:t>Autres agents anti-inflammatoires et anti-rhumatismaux, non stéroïdiens</w:t>
      </w:r>
      <w:r w:rsidR="00D2136A" w:rsidRPr="00D2136A">
        <w:rPr>
          <w:color w:val="002060"/>
          <w:sz w:val="22"/>
        </w:rPr>
        <w:t>, code ATC : M01AX05</w:t>
      </w:r>
      <w:r w:rsidR="00D2136A">
        <w:rPr>
          <w:color w:val="002060"/>
          <w:sz w:val="22"/>
        </w:rPr>
        <w:t xml:space="preserve">. </w:t>
      </w:r>
      <w:r w:rsidR="00D2136A" w:rsidRPr="00D2136A">
        <w:rPr>
          <w:color w:val="002060"/>
          <w:sz w:val="22"/>
        </w:rPr>
        <w:t xml:space="preserve">La glucosamine est une substance endogène, un constituant normal de la chaîne polysaccharidique de la matrice du cartilage et des glycosaminoglycanes du liquide synovial. Les études in vitro et in vivo ont montré que la glucosamine stimule la synthèse des </w:t>
      </w:r>
      <w:proofErr w:type="spellStart"/>
      <w:r w:rsidR="00D2136A" w:rsidRPr="00D2136A">
        <w:rPr>
          <w:color w:val="002060"/>
          <w:sz w:val="22"/>
        </w:rPr>
        <w:t>glycosaminoglycanes</w:t>
      </w:r>
      <w:proofErr w:type="spellEnd"/>
      <w:r w:rsidR="00D2136A" w:rsidRPr="00D2136A">
        <w:rPr>
          <w:color w:val="002060"/>
          <w:sz w:val="22"/>
        </w:rPr>
        <w:t xml:space="preserve"> et des </w:t>
      </w:r>
      <w:proofErr w:type="spellStart"/>
      <w:r w:rsidR="00D2136A" w:rsidRPr="00D2136A">
        <w:rPr>
          <w:color w:val="002060"/>
          <w:sz w:val="22"/>
        </w:rPr>
        <w:t>protéoglycanes</w:t>
      </w:r>
      <w:proofErr w:type="spellEnd"/>
      <w:r w:rsidR="00D2136A" w:rsidRPr="00D2136A">
        <w:rPr>
          <w:color w:val="002060"/>
          <w:sz w:val="22"/>
        </w:rPr>
        <w:t xml:space="preserve"> physiologiques par les </w:t>
      </w:r>
      <w:proofErr w:type="spellStart"/>
      <w:r w:rsidR="00D2136A" w:rsidRPr="00D2136A">
        <w:rPr>
          <w:color w:val="002060"/>
          <w:sz w:val="22"/>
        </w:rPr>
        <w:t>chondrocytes</w:t>
      </w:r>
      <w:proofErr w:type="spellEnd"/>
      <w:r w:rsidR="00D2136A" w:rsidRPr="00D2136A">
        <w:rPr>
          <w:color w:val="002060"/>
          <w:sz w:val="22"/>
        </w:rPr>
        <w:t xml:space="preserve">, ainsi que celle de l’acide </w:t>
      </w:r>
      <w:proofErr w:type="spellStart"/>
      <w:r w:rsidR="00D2136A" w:rsidRPr="00D2136A">
        <w:rPr>
          <w:color w:val="002060"/>
          <w:sz w:val="22"/>
        </w:rPr>
        <w:t>hyaluronique</w:t>
      </w:r>
      <w:proofErr w:type="spellEnd"/>
      <w:r w:rsidR="00D2136A" w:rsidRPr="00D2136A">
        <w:rPr>
          <w:color w:val="002060"/>
          <w:sz w:val="22"/>
        </w:rPr>
        <w:t xml:space="preserve"> par les </w:t>
      </w:r>
      <w:proofErr w:type="spellStart"/>
      <w:r w:rsidR="00D2136A" w:rsidRPr="00D2136A">
        <w:rPr>
          <w:color w:val="002060"/>
          <w:sz w:val="22"/>
        </w:rPr>
        <w:t>synoviocytes</w:t>
      </w:r>
      <w:proofErr w:type="spellEnd"/>
      <w:r w:rsidR="00D2136A" w:rsidRPr="00D2136A">
        <w:rPr>
          <w:color w:val="002060"/>
          <w:sz w:val="22"/>
        </w:rPr>
        <w:t>.</w:t>
      </w:r>
      <w:r w:rsidR="005522C4">
        <w:rPr>
          <w:color w:val="002060"/>
          <w:sz w:val="22"/>
        </w:rPr>
        <w:t xml:space="preserve"> </w:t>
      </w:r>
      <w:r w:rsidR="00D2136A" w:rsidRPr="00D2136A">
        <w:rPr>
          <w:color w:val="002060"/>
          <w:sz w:val="22"/>
        </w:rPr>
        <w:t>Le mécanisme d’action de la glucosamine n’est pas connu.</w:t>
      </w:r>
      <w:r w:rsidR="005522C4">
        <w:rPr>
          <w:color w:val="002060"/>
          <w:sz w:val="22"/>
        </w:rPr>
        <w:t xml:space="preserve"> </w:t>
      </w:r>
      <w:r w:rsidR="00D2136A" w:rsidRPr="00D2136A">
        <w:rPr>
          <w:color w:val="002060"/>
          <w:sz w:val="22"/>
        </w:rPr>
        <w:t>Le délai d’apparition de la réponse ne peut être évalué.</w:t>
      </w:r>
      <w:r w:rsidR="005522C4">
        <w:rPr>
          <w:color w:val="002060"/>
          <w:sz w:val="22"/>
        </w:rPr>
        <w:t xml:space="preserve"> </w:t>
      </w:r>
      <w:r w:rsidR="00D2136A" w:rsidRPr="00795B12">
        <w:rPr>
          <w:b/>
          <w:color w:val="002060"/>
          <w:sz w:val="22"/>
          <w:u w:val="single"/>
        </w:rPr>
        <w:t>Propriétés pharmacocinétiques</w:t>
      </w:r>
      <w:r w:rsidR="00795B12">
        <w:rPr>
          <w:b/>
          <w:color w:val="002060"/>
          <w:sz w:val="22"/>
          <w:u w:val="single"/>
        </w:rPr>
        <w:t> </w:t>
      </w:r>
      <w:r w:rsidR="00795B12">
        <w:rPr>
          <w:b/>
          <w:sz w:val="22"/>
        </w:rPr>
        <w:t>:</w:t>
      </w:r>
      <w:bookmarkStart w:id="8" w:name="_Toc142278934"/>
      <w:r w:rsidR="005522C4">
        <w:rPr>
          <w:b/>
          <w:sz w:val="22"/>
        </w:rPr>
        <w:t xml:space="preserve"> </w:t>
      </w:r>
      <w:r w:rsidR="00D2136A" w:rsidRPr="00D2136A">
        <w:rPr>
          <w:color w:val="002060"/>
          <w:sz w:val="22"/>
        </w:rPr>
        <w:t>La glucosamine est une molécule de taille relativement petite (masse moléculaire 179), qui se dissout facilement dans l’eau et qui est soluble dans les solvants organiques hydrophiles.</w:t>
      </w:r>
      <w:bookmarkEnd w:id="8"/>
      <w:r w:rsidR="00D2136A" w:rsidRPr="00D2136A">
        <w:rPr>
          <w:color w:val="002060"/>
          <w:sz w:val="22"/>
        </w:rPr>
        <w:t xml:space="preserve"> Les informations disponibles sur la pharmacocinétique de la glucosamine sont limitées. La biodisponibilité absolue n’est pas connue. Le volume de distribution est d’environ 5 litres et la demi-vie après administration par voie intraveineuse est d’environ 2 heures. 38 % environ d’une dose intraveineuse sont excrétés sous forme inchangée dans l’urine. Le profil ADME </w:t>
      </w:r>
      <w:r w:rsidR="00D2136A" w:rsidRPr="00D2136A">
        <w:rPr>
          <w:color w:val="002060"/>
          <w:sz w:val="22"/>
        </w:rPr>
        <w:lastRenderedPageBreak/>
        <w:t>(absorption, distribution, métabolisme et excrétion) du sulfate de glucosamine chez l’Homme n’a pas été totalement établi.</w:t>
      </w:r>
      <w:r w:rsidR="005522C4">
        <w:rPr>
          <w:color w:val="002060"/>
          <w:sz w:val="22"/>
        </w:rPr>
        <w:t xml:space="preserve"> </w:t>
      </w:r>
      <w:r w:rsidR="00F97FF0" w:rsidRPr="004238F5">
        <w:rPr>
          <w:b/>
          <w:sz w:val="22"/>
          <w:szCs w:val="22"/>
        </w:rPr>
        <w:t>DONNÉES DE SÉCURITÉ PRÉCLINIQUE</w:t>
      </w:r>
      <w:r w:rsidR="00F278DB">
        <w:rPr>
          <w:b/>
          <w:sz w:val="22"/>
          <w:szCs w:val="22"/>
        </w:rPr>
        <w:t xml:space="preserve"> </w:t>
      </w:r>
      <w:r w:rsidR="00D2136A" w:rsidRPr="00D2136A">
        <w:rPr>
          <w:color w:val="002060"/>
          <w:sz w:val="22"/>
        </w:rPr>
        <w:t xml:space="preserve">La D-glucosamine a une faible toxicité </w:t>
      </w:r>
      <w:proofErr w:type="spellStart"/>
      <w:r w:rsidR="00D2136A" w:rsidRPr="00D2136A">
        <w:rPr>
          <w:color w:val="002060"/>
          <w:sz w:val="22"/>
        </w:rPr>
        <w:t>aiguë.Les</w:t>
      </w:r>
      <w:proofErr w:type="spellEnd"/>
      <w:r w:rsidR="00D2136A" w:rsidRPr="00D2136A">
        <w:rPr>
          <w:color w:val="002060"/>
          <w:sz w:val="22"/>
        </w:rPr>
        <w:t xml:space="preserve"> données des expériences animales liées à la toxicité lors d’une administration répétée, la </w:t>
      </w:r>
      <w:proofErr w:type="spellStart"/>
      <w:r w:rsidR="00D2136A" w:rsidRPr="00D2136A">
        <w:rPr>
          <w:color w:val="002060"/>
          <w:sz w:val="22"/>
        </w:rPr>
        <w:t>reprotoxicité</w:t>
      </w:r>
      <w:proofErr w:type="spellEnd"/>
      <w:r w:rsidR="00D2136A" w:rsidRPr="00D2136A">
        <w:rPr>
          <w:color w:val="002060"/>
          <w:sz w:val="22"/>
        </w:rPr>
        <w:t xml:space="preserve">, la </w:t>
      </w:r>
      <w:proofErr w:type="spellStart"/>
      <w:r w:rsidR="00D2136A" w:rsidRPr="00D2136A">
        <w:rPr>
          <w:color w:val="002060"/>
          <w:sz w:val="22"/>
        </w:rPr>
        <w:t>mutagénicité</w:t>
      </w:r>
      <w:proofErr w:type="spellEnd"/>
      <w:r w:rsidR="00D2136A" w:rsidRPr="00D2136A">
        <w:rPr>
          <w:color w:val="002060"/>
          <w:sz w:val="22"/>
        </w:rPr>
        <w:t xml:space="preserve"> et la </w:t>
      </w:r>
      <w:proofErr w:type="spellStart"/>
      <w:r w:rsidR="00D2136A" w:rsidRPr="00D2136A">
        <w:rPr>
          <w:color w:val="002060"/>
          <w:sz w:val="22"/>
        </w:rPr>
        <w:t>carcinogénicité</w:t>
      </w:r>
      <w:proofErr w:type="spellEnd"/>
      <w:r w:rsidR="00D2136A" w:rsidRPr="00D2136A">
        <w:rPr>
          <w:color w:val="002060"/>
          <w:sz w:val="22"/>
        </w:rPr>
        <w:t xml:space="preserve"> sont insuffisantes.</w:t>
      </w:r>
      <w:r w:rsidR="009F729F">
        <w:rPr>
          <w:color w:val="002060"/>
          <w:sz w:val="22"/>
        </w:rPr>
        <w:t xml:space="preserve"> </w:t>
      </w:r>
      <w:r w:rsidR="00D2136A" w:rsidRPr="00D2136A">
        <w:rPr>
          <w:color w:val="002060"/>
          <w:sz w:val="22"/>
        </w:rPr>
        <w:t>La glucosamine n’est pas mutagène. Des résultats non interprétables ont été observés </w:t>
      </w:r>
      <w:r w:rsidR="00D2136A" w:rsidRPr="00D2136A">
        <w:rPr>
          <w:i/>
          <w:iCs/>
          <w:color w:val="002060"/>
          <w:sz w:val="22"/>
        </w:rPr>
        <w:t>in vivo</w:t>
      </w:r>
      <w:r w:rsidR="00D2136A" w:rsidRPr="00D2136A">
        <w:rPr>
          <w:color w:val="002060"/>
          <w:sz w:val="22"/>
        </w:rPr>
        <w:t xml:space="preserve"> quant à l’effet </w:t>
      </w:r>
      <w:proofErr w:type="spellStart"/>
      <w:r w:rsidR="00D2136A" w:rsidRPr="00D2136A">
        <w:rPr>
          <w:color w:val="002060"/>
          <w:sz w:val="22"/>
        </w:rPr>
        <w:t>clastogènique</w:t>
      </w:r>
      <w:proofErr w:type="spellEnd"/>
      <w:r w:rsidR="00D2136A" w:rsidRPr="00D2136A">
        <w:rPr>
          <w:color w:val="002060"/>
          <w:sz w:val="22"/>
        </w:rPr>
        <w:t xml:space="preserve"> de la glucosamine. Cependant, ces données ne sont pas considérées comme ayant des conséquences cliniques significatives lors de l’évaluation de la sécurité d’utilisation chez l’Homme car la glucosamine est une substance endogène.</w:t>
      </w:r>
      <w:r w:rsidR="009F729F">
        <w:rPr>
          <w:color w:val="002060"/>
          <w:sz w:val="22"/>
        </w:rPr>
        <w:t xml:space="preserve"> </w:t>
      </w:r>
      <w:r w:rsidR="00D2136A" w:rsidRPr="00D2136A">
        <w:rPr>
          <w:color w:val="002060"/>
          <w:sz w:val="22"/>
        </w:rPr>
        <w:t>Les résultats des études </w:t>
      </w:r>
      <w:r w:rsidR="00D2136A" w:rsidRPr="00D2136A">
        <w:rPr>
          <w:i/>
          <w:iCs/>
          <w:color w:val="002060"/>
          <w:sz w:val="22"/>
        </w:rPr>
        <w:t>in vitro</w:t>
      </w:r>
      <w:r w:rsidR="00D2136A" w:rsidRPr="00D2136A">
        <w:rPr>
          <w:color w:val="002060"/>
          <w:sz w:val="22"/>
        </w:rPr>
        <w:t> ou </w:t>
      </w:r>
      <w:r w:rsidR="00D2136A" w:rsidRPr="00D2136A">
        <w:rPr>
          <w:i/>
          <w:iCs/>
          <w:color w:val="002060"/>
          <w:sz w:val="22"/>
        </w:rPr>
        <w:t>in vivo</w:t>
      </w:r>
      <w:r w:rsidR="00D2136A" w:rsidRPr="00D2136A">
        <w:rPr>
          <w:color w:val="002060"/>
          <w:sz w:val="22"/>
        </w:rPr>
        <w:t xml:space="preserve"> chez les animaux ont montré que la glucosamine réduit la sécrétion d’insuline et induit une résistance à l’insuline, probablement via l’inhibition de la </w:t>
      </w:r>
      <w:proofErr w:type="spellStart"/>
      <w:r w:rsidR="00D2136A" w:rsidRPr="00D2136A">
        <w:rPr>
          <w:color w:val="002060"/>
          <w:sz w:val="22"/>
        </w:rPr>
        <w:t>glucokinase</w:t>
      </w:r>
      <w:proofErr w:type="spellEnd"/>
      <w:r w:rsidR="00D2136A" w:rsidRPr="00D2136A">
        <w:rPr>
          <w:color w:val="002060"/>
          <w:sz w:val="22"/>
        </w:rPr>
        <w:t xml:space="preserve"> dans </w:t>
      </w:r>
      <w:proofErr w:type="gramStart"/>
      <w:r w:rsidR="00D2136A" w:rsidRPr="00D2136A">
        <w:rPr>
          <w:color w:val="002060"/>
          <w:sz w:val="22"/>
        </w:rPr>
        <w:t>les cellules</w:t>
      </w:r>
      <w:proofErr w:type="gramEnd"/>
      <w:r w:rsidR="00D2136A" w:rsidRPr="00D2136A">
        <w:rPr>
          <w:color w:val="002060"/>
          <w:sz w:val="22"/>
        </w:rPr>
        <w:t xml:space="preserve"> bêta. La pertinence clinique de cette observation n’est pas connue.</w:t>
      </w:r>
      <w:r w:rsidR="005522C4">
        <w:rPr>
          <w:color w:val="002060"/>
          <w:sz w:val="22"/>
        </w:rPr>
        <w:t xml:space="preserve"> </w:t>
      </w:r>
      <w:r w:rsidR="00C044A5">
        <w:rPr>
          <w:b/>
          <w:sz w:val="22"/>
        </w:rPr>
        <w:t xml:space="preserve">CONDITIONS DE PRESCRIPTION ET DE DÉLIVRANCE </w:t>
      </w:r>
      <w:r w:rsidR="00CF48B3" w:rsidRPr="00B20B9A">
        <w:rPr>
          <w:color w:val="002060"/>
          <w:sz w:val="22"/>
        </w:rPr>
        <w:t xml:space="preserve">Tableau </w:t>
      </w:r>
      <w:r w:rsidR="00D2136A" w:rsidRPr="00B20B9A">
        <w:rPr>
          <w:color w:val="002060"/>
          <w:sz w:val="22"/>
        </w:rPr>
        <w:t>C</w:t>
      </w:r>
      <w:r w:rsidR="00CF48B3" w:rsidRPr="00B20B9A">
        <w:rPr>
          <w:b/>
          <w:color w:val="002060"/>
          <w:sz w:val="22"/>
        </w:rPr>
        <w:t xml:space="preserve"> (</w:t>
      </w:r>
      <w:r w:rsidR="00C044A5" w:rsidRPr="00B20B9A">
        <w:rPr>
          <w:color w:val="002060"/>
          <w:sz w:val="22"/>
        </w:rPr>
        <w:t xml:space="preserve">Liste </w:t>
      </w:r>
      <w:r w:rsidR="00D2136A" w:rsidRPr="00B20B9A">
        <w:rPr>
          <w:color w:val="002060"/>
          <w:sz w:val="22"/>
        </w:rPr>
        <w:t>I</w:t>
      </w:r>
      <w:r w:rsidR="00C044A5" w:rsidRPr="00B20B9A">
        <w:rPr>
          <w:color w:val="002060"/>
          <w:sz w:val="22"/>
        </w:rPr>
        <w:t>I</w:t>
      </w:r>
      <w:r w:rsidR="00CF48B3" w:rsidRPr="00B20B9A">
        <w:rPr>
          <w:color w:val="002060"/>
          <w:sz w:val="22"/>
        </w:rPr>
        <w:t>)</w:t>
      </w:r>
      <w:r w:rsidR="00C044A5" w:rsidRPr="00B20B9A">
        <w:rPr>
          <w:color w:val="002060"/>
          <w:sz w:val="22"/>
        </w:rPr>
        <w:t>.</w:t>
      </w:r>
      <w:r w:rsidR="00B500FF">
        <w:rPr>
          <w:color w:val="002060"/>
          <w:sz w:val="22"/>
        </w:rPr>
        <w:t xml:space="preserve"> </w:t>
      </w:r>
      <w:r w:rsidR="00CF5669">
        <w:rPr>
          <w:b/>
          <w:sz w:val="22"/>
          <w:szCs w:val="22"/>
        </w:rPr>
        <w:t>DATE DE REVISION</w:t>
      </w:r>
      <w:bookmarkStart w:id="9" w:name="_GoBack"/>
      <w:bookmarkEnd w:id="9"/>
      <w:r w:rsidR="00FD4712" w:rsidRPr="003C70D8">
        <w:rPr>
          <w:color w:val="002060"/>
          <w:sz w:val="22"/>
        </w:rPr>
        <w:t xml:space="preserve"> </w:t>
      </w:r>
      <w:r w:rsidR="00B500FF">
        <w:rPr>
          <w:color w:val="002060"/>
          <w:sz w:val="22"/>
        </w:rPr>
        <w:t>Mars 2016.</w:t>
      </w:r>
    </w:p>
    <w:p w:rsidR="00C044A5" w:rsidRDefault="00C044A5" w:rsidP="00C044A5">
      <w:pPr>
        <w:spacing w:line="260" w:lineRule="atLeast"/>
        <w:jc w:val="both"/>
        <w:rPr>
          <w:sz w:val="22"/>
        </w:rPr>
      </w:pPr>
    </w:p>
    <w:p w:rsidR="00C044A5" w:rsidRPr="00900957" w:rsidRDefault="00C044A5" w:rsidP="00FD4712">
      <w:pPr>
        <w:rPr>
          <w:b/>
        </w:rPr>
      </w:pPr>
      <w:r>
        <w:tab/>
      </w:r>
      <w:r>
        <w:tab/>
      </w:r>
      <w:r>
        <w:tab/>
      </w:r>
      <w:r>
        <w:tab/>
      </w:r>
      <w:r>
        <w:tab/>
      </w:r>
      <w:r>
        <w:tab/>
      </w:r>
      <w:r>
        <w:tab/>
      </w:r>
      <w:r>
        <w:tab/>
      </w:r>
      <w:r>
        <w:tab/>
      </w:r>
      <w:r w:rsidR="00FD4712">
        <w:tab/>
      </w:r>
      <w:r w:rsidR="00FD4712">
        <w:tab/>
      </w:r>
      <w:r w:rsidR="00FD4712" w:rsidRPr="00900957">
        <w:rPr>
          <w:b/>
          <w:sz w:val="20"/>
        </w:rPr>
        <w:t>BIOCODEX Maroc</w:t>
      </w:r>
    </w:p>
    <w:p w:rsidR="00C044A5" w:rsidRPr="00C044A5" w:rsidRDefault="00C044A5" w:rsidP="00C044A5">
      <w:pPr>
        <w:rPr>
          <w:b/>
        </w:rPr>
      </w:pPr>
    </w:p>
    <w:sectPr w:rsidR="00C044A5" w:rsidRPr="00C044A5" w:rsidSect="000B0F3A">
      <w:headerReference w:type="default" r:id="rId8"/>
      <w:footerReference w:type="default" r:id="rId9"/>
      <w:pgSz w:w="11907" w:h="16840"/>
      <w:pgMar w:top="85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1A" w:rsidRDefault="00BC3E1A">
      <w:r>
        <w:separator/>
      </w:r>
    </w:p>
  </w:endnote>
  <w:endnote w:type="continuationSeparator" w:id="0">
    <w:p w:rsidR="00BC3E1A" w:rsidRDefault="00BC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3D" w:rsidRDefault="00B36B1A" w:rsidP="00667E21">
    <w:pPr>
      <w:pStyle w:val="Pieddepage"/>
      <w:jc w:val="right"/>
    </w:pPr>
    <w:r>
      <w:t xml:space="preserve">G.202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1A" w:rsidRDefault="00BC3E1A">
      <w:r>
        <w:separator/>
      </w:r>
    </w:p>
  </w:footnote>
  <w:footnote w:type="continuationSeparator" w:id="0">
    <w:p w:rsidR="00BC3E1A" w:rsidRDefault="00BC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23D" w:rsidRDefault="00F1023D">
    <w:pPr>
      <w:pStyle w:val="En-tte"/>
      <w:rPr>
        <w:sz w:val="20"/>
      </w:rPr>
    </w:pPr>
    <w:r>
      <w:rPr>
        <w:sz w:val="20"/>
      </w:rPr>
      <w:tab/>
    </w:r>
    <w:r>
      <w:rPr>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72"/>
    <w:rsid w:val="00000934"/>
    <w:rsid w:val="00042E33"/>
    <w:rsid w:val="000B0F3A"/>
    <w:rsid w:val="001043D3"/>
    <w:rsid w:val="001449EF"/>
    <w:rsid w:val="00167E23"/>
    <w:rsid w:val="00175681"/>
    <w:rsid w:val="00211E16"/>
    <w:rsid w:val="00244544"/>
    <w:rsid w:val="00247437"/>
    <w:rsid w:val="00282267"/>
    <w:rsid w:val="002A5E13"/>
    <w:rsid w:val="00304CC8"/>
    <w:rsid w:val="00307200"/>
    <w:rsid w:val="00326331"/>
    <w:rsid w:val="00371577"/>
    <w:rsid w:val="00391E39"/>
    <w:rsid w:val="0039241B"/>
    <w:rsid w:val="003C70D8"/>
    <w:rsid w:val="003D6634"/>
    <w:rsid w:val="0042389B"/>
    <w:rsid w:val="00425342"/>
    <w:rsid w:val="00427BD8"/>
    <w:rsid w:val="00437B93"/>
    <w:rsid w:val="00470C60"/>
    <w:rsid w:val="004A65D5"/>
    <w:rsid w:val="004C04E4"/>
    <w:rsid w:val="00511641"/>
    <w:rsid w:val="00531DC7"/>
    <w:rsid w:val="005522C4"/>
    <w:rsid w:val="00621800"/>
    <w:rsid w:val="006331F4"/>
    <w:rsid w:val="0064345B"/>
    <w:rsid w:val="00647BDD"/>
    <w:rsid w:val="00667E21"/>
    <w:rsid w:val="006A0D70"/>
    <w:rsid w:val="006E1472"/>
    <w:rsid w:val="00745759"/>
    <w:rsid w:val="00795B12"/>
    <w:rsid w:val="00900957"/>
    <w:rsid w:val="00915A22"/>
    <w:rsid w:val="00937F8F"/>
    <w:rsid w:val="009434F3"/>
    <w:rsid w:val="009C3ED2"/>
    <w:rsid w:val="009E1398"/>
    <w:rsid w:val="009F6581"/>
    <w:rsid w:val="009F729F"/>
    <w:rsid w:val="00A8126E"/>
    <w:rsid w:val="00AC731F"/>
    <w:rsid w:val="00AD79C3"/>
    <w:rsid w:val="00B03074"/>
    <w:rsid w:val="00B20B9A"/>
    <w:rsid w:val="00B3153A"/>
    <w:rsid w:val="00B36B1A"/>
    <w:rsid w:val="00B500FF"/>
    <w:rsid w:val="00BC3E1A"/>
    <w:rsid w:val="00C003A7"/>
    <w:rsid w:val="00C044A5"/>
    <w:rsid w:val="00C9760D"/>
    <w:rsid w:val="00CF46B2"/>
    <w:rsid w:val="00CF48B3"/>
    <w:rsid w:val="00CF5669"/>
    <w:rsid w:val="00D2136A"/>
    <w:rsid w:val="00D2276B"/>
    <w:rsid w:val="00DC7B14"/>
    <w:rsid w:val="00E82F56"/>
    <w:rsid w:val="00E96049"/>
    <w:rsid w:val="00EB47AB"/>
    <w:rsid w:val="00F1023D"/>
    <w:rsid w:val="00F278DB"/>
    <w:rsid w:val="00F40CEF"/>
    <w:rsid w:val="00F5521F"/>
    <w:rsid w:val="00F97FF0"/>
    <w:rsid w:val="00FA0AB9"/>
    <w:rsid w:val="00FA346B"/>
    <w:rsid w:val="00FD4712"/>
    <w:rsid w:val="00FF7E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3A"/>
    <w:rPr>
      <w:rFonts w:ascii="Times New Roman" w:hAnsi="Times New Roman"/>
      <w:sz w:val="24"/>
    </w:rPr>
  </w:style>
  <w:style w:type="paragraph" w:styleId="Titre1">
    <w:name w:val="heading 1"/>
    <w:basedOn w:val="Normal"/>
    <w:next w:val="Normal"/>
    <w:qFormat/>
    <w:rsid w:val="000B0F3A"/>
    <w:pPr>
      <w:keepNext/>
      <w:tabs>
        <w:tab w:val="left" w:pos="426"/>
        <w:tab w:val="left" w:pos="709"/>
      </w:tabs>
      <w:spacing w:line="280" w:lineRule="atLeast"/>
      <w:jc w:val="both"/>
      <w:outlineLvl w:val="0"/>
    </w:pPr>
    <w:rPr>
      <w:rFonts w:ascii="Footlight MT Light" w:hAnsi="Footlight MT Light"/>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0B0F3A"/>
  </w:style>
  <w:style w:type="paragraph" w:styleId="Pieddepage">
    <w:name w:val="footer"/>
    <w:basedOn w:val="Normal"/>
    <w:rsid w:val="000B0F3A"/>
    <w:pPr>
      <w:tabs>
        <w:tab w:val="center" w:pos="4819"/>
        <w:tab w:val="right" w:pos="9071"/>
      </w:tabs>
    </w:pPr>
  </w:style>
  <w:style w:type="paragraph" w:styleId="En-tte">
    <w:name w:val="header"/>
    <w:basedOn w:val="Normal"/>
    <w:rsid w:val="000B0F3A"/>
    <w:pPr>
      <w:tabs>
        <w:tab w:val="center" w:pos="4819"/>
        <w:tab w:val="right" w:pos="9071"/>
      </w:tabs>
    </w:pPr>
  </w:style>
  <w:style w:type="paragraph" w:styleId="Explorateurdedocuments">
    <w:name w:val="Document Map"/>
    <w:basedOn w:val="Normal"/>
    <w:semiHidden/>
    <w:rsid w:val="000B0F3A"/>
    <w:pPr>
      <w:shd w:val="clear" w:color="auto" w:fill="000080"/>
    </w:pPr>
    <w:rPr>
      <w:rFonts w:ascii="Tahoma" w:hAnsi="Tahoma"/>
    </w:rPr>
  </w:style>
  <w:style w:type="paragraph" w:styleId="Titre">
    <w:name w:val="Title"/>
    <w:basedOn w:val="Normal"/>
    <w:qFormat/>
    <w:rsid w:val="000B0F3A"/>
    <w:pPr>
      <w:tabs>
        <w:tab w:val="center" w:pos="5103"/>
        <w:tab w:val="right" w:pos="9639"/>
      </w:tabs>
      <w:spacing w:line="260" w:lineRule="atLeast"/>
      <w:jc w:val="center"/>
      <w:outlineLvl w:val="0"/>
    </w:pPr>
    <w:rPr>
      <w:b/>
      <w:sz w:val="22"/>
    </w:rPr>
  </w:style>
  <w:style w:type="paragraph" w:styleId="Textedebulles">
    <w:name w:val="Balloon Text"/>
    <w:basedOn w:val="Normal"/>
    <w:link w:val="TextedebullesCar"/>
    <w:semiHidden/>
    <w:unhideWhenUsed/>
    <w:rsid w:val="00FA346B"/>
    <w:rPr>
      <w:rFonts w:ascii="Tahoma" w:hAnsi="Tahoma" w:cs="Tahoma"/>
      <w:sz w:val="16"/>
      <w:szCs w:val="16"/>
    </w:rPr>
  </w:style>
  <w:style w:type="character" w:customStyle="1" w:styleId="TextedebullesCar">
    <w:name w:val="Texte de bulles Car"/>
    <w:link w:val="Textedebulles"/>
    <w:semiHidden/>
    <w:rsid w:val="00FA346B"/>
    <w:rPr>
      <w:rFonts w:ascii="Tahoma" w:hAnsi="Tahoma" w:cs="Tahoma"/>
      <w:sz w:val="16"/>
      <w:szCs w:val="16"/>
    </w:rPr>
  </w:style>
  <w:style w:type="character" w:styleId="Lienhypertexte">
    <w:name w:val="Hyperlink"/>
    <w:rsid w:val="00F97FF0"/>
    <w:rPr>
      <w:color w:val="0563C1"/>
      <w:u w:val="single"/>
    </w:rPr>
  </w:style>
  <w:style w:type="paragraph" w:customStyle="1" w:styleId="ammannexetitre4">
    <w:name w:val="ammannexetitre4"/>
    <w:basedOn w:val="Normal"/>
    <w:rsid w:val="0039241B"/>
    <w:pPr>
      <w:spacing w:before="100" w:beforeAutospacing="1" w:after="100" w:afterAutospacing="1"/>
    </w:pPr>
    <w:rPr>
      <w:szCs w:val="24"/>
    </w:rPr>
  </w:style>
  <w:style w:type="paragraph" w:customStyle="1" w:styleId="ammcorpstexte">
    <w:name w:val="ammcorpstexte"/>
    <w:basedOn w:val="Normal"/>
    <w:rsid w:val="0039241B"/>
    <w:pPr>
      <w:spacing w:before="100" w:beforeAutospacing="1" w:after="100" w:afterAutospacing="1"/>
    </w:pPr>
    <w:rPr>
      <w:szCs w:val="24"/>
    </w:rPr>
  </w:style>
  <w:style w:type="paragraph" w:customStyle="1" w:styleId="ammannexetitre3">
    <w:name w:val="ammannexetitre3"/>
    <w:basedOn w:val="Normal"/>
    <w:rsid w:val="0039241B"/>
    <w:pPr>
      <w:spacing w:before="100" w:beforeAutospacing="1" w:after="100" w:afterAutospacing="1"/>
    </w:pPr>
    <w:rPr>
      <w:szCs w:val="24"/>
    </w:rPr>
  </w:style>
  <w:style w:type="paragraph" w:customStyle="1" w:styleId="ammlistepuces1">
    <w:name w:val="ammlistepuces1"/>
    <w:basedOn w:val="Normal"/>
    <w:rsid w:val="0039241B"/>
    <w:pPr>
      <w:spacing w:before="100" w:beforeAutospacing="1" w:after="100" w:afterAutospacing="1"/>
    </w:pPr>
    <w:rPr>
      <w:szCs w:val="24"/>
    </w:rPr>
  </w:style>
  <w:style w:type="character" w:customStyle="1" w:styleId="apple-converted-space">
    <w:name w:val="apple-converted-space"/>
    <w:basedOn w:val="Policepardfaut"/>
    <w:rsid w:val="0039241B"/>
  </w:style>
  <w:style w:type="paragraph" w:customStyle="1" w:styleId="ammannexetitre2bis">
    <w:name w:val="ammannexetitre2bis"/>
    <w:basedOn w:val="Normal"/>
    <w:rsid w:val="00531DC7"/>
    <w:pPr>
      <w:spacing w:before="100" w:beforeAutospacing="1" w:after="100" w:afterAutospacing="1"/>
    </w:pPr>
    <w:rPr>
      <w:szCs w:val="24"/>
    </w:rPr>
  </w:style>
  <w:style w:type="paragraph" w:customStyle="1" w:styleId="ammcorpstextegras">
    <w:name w:val="ammcorpstextegras"/>
    <w:basedOn w:val="Normal"/>
    <w:rsid w:val="00531DC7"/>
    <w:pPr>
      <w:spacing w:before="100" w:beforeAutospacing="1" w:after="100" w:afterAutospacing="1"/>
    </w:pPr>
    <w:rPr>
      <w:szCs w:val="24"/>
    </w:rPr>
  </w:style>
  <w:style w:type="paragraph" w:customStyle="1" w:styleId="ammannexetitre2">
    <w:name w:val="ammannexetitre2"/>
    <w:basedOn w:val="Normal"/>
    <w:rsid w:val="00D2136A"/>
    <w:pPr>
      <w:spacing w:before="100" w:beforeAutospacing="1" w:after="100" w:afterAutospacing="1"/>
    </w:pPr>
    <w:rPr>
      <w:szCs w:val="24"/>
    </w:rPr>
  </w:style>
  <w:style w:type="paragraph" w:customStyle="1" w:styleId="ammannexetitre1">
    <w:name w:val="ammannexetitre1"/>
    <w:basedOn w:val="Normal"/>
    <w:rsid w:val="00D2136A"/>
    <w:pPr>
      <w:spacing w:before="100" w:beforeAutospacing="1" w:after="100" w:afterAutospacing="1"/>
    </w:pPr>
    <w:rPr>
      <w:szCs w:val="24"/>
    </w:rPr>
  </w:style>
  <w:style w:type="paragraph" w:styleId="Rvision">
    <w:name w:val="Revision"/>
    <w:hidden/>
    <w:uiPriority w:val="99"/>
    <w:semiHidden/>
    <w:rsid w:val="00B36B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3A"/>
    <w:rPr>
      <w:rFonts w:ascii="Times New Roman" w:hAnsi="Times New Roman"/>
      <w:sz w:val="24"/>
    </w:rPr>
  </w:style>
  <w:style w:type="paragraph" w:styleId="Titre1">
    <w:name w:val="heading 1"/>
    <w:basedOn w:val="Normal"/>
    <w:next w:val="Normal"/>
    <w:qFormat/>
    <w:rsid w:val="000B0F3A"/>
    <w:pPr>
      <w:keepNext/>
      <w:tabs>
        <w:tab w:val="left" w:pos="426"/>
        <w:tab w:val="left" w:pos="709"/>
      </w:tabs>
      <w:spacing w:line="280" w:lineRule="atLeast"/>
      <w:jc w:val="both"/>
      <w:outlineLvl w:val="0"/>
    </w:pPr>
    <w:rPr>
      <w:rFonts w:ascii="Footlight MT Light" w:hAnsi="Footlight MT Light"/>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0B0F3A"/>
  </w:style>
  <w:style w:type="paragraph" w:styleId="Pieddepage">
    <w:name w:val="footer"/>
    <w:basedOn w:val="Normal"/>
    <w:rsid w:val="000B0F3A"/>
    <w:pPr>
      <w:tabs>
        <w:tab w:val="center" w:pos="4819"/>
        <w:tab w:val="right" w:pos="9071"/>
      </w:tabs>
    </w:pPr>
  </w:style>
  <w:style w:type="paragraph" w:styleId="En-tte">
    <w:name w:val="header"/>
    <w:basedOn w:val="Normal"/>
    <w:rsid w:val="000B0F3A"/>
    <w:pPr>
      <w:tabs>
        <w:tab w:val="center" w:pos="4819"/>
        <w:tab w:val="right" w:pos="9071"/>
      </w:tabs>
    </w:pPr>
  </w:style>
  <w:style w:type="paragraph" w:styleId="Explorateurdedocuments">
    <w:name w:val="Document Map"/>
    <w:basedOn w:val="Normal"/>
    <w:semiHidden/>
    <w:rsid w:val="000B0F3A"/>
    <w:pPr>
      <w:shd w:val="clear" w:color="auto" w:fill="000080"/>
    </w:pPr>
    <w:rPr>
      <w:rFonts w:ascii="Tahoma" w:hAnsi="Tahoma"/>
    </w:rPr>
  </w:style>
  <w:style w:type="paragraph" w:styleId="Titre">
    <w:name w:val="Title"/>
    <w:basedOn w:val="Normal"/>
    <w:qFormat/>
    <w:rsid w:val="000B0F3A"/>
    <w:pPr>
      <w:tabs>
        <w:tab w:val="center" w:pos="5103"/>
        <w:tab w:val="right" w:pos="9639"/>
      </w:tabs>
      <w:spacing w:line="260" w:lineRule="atLeast"/>
      <w:jc w:val="center"/>
      <w:outlineLvl w:val="0"/>
    </w:pPr>
    <w:rPr>
      <w:b/>
      <w:sz w:val="22"/>
    </w:rPr>
  </w:style>
  <w:style w:type="paragraph" w:styleId="Textedebulles">
    <w:name w:val="Balloon Text"/>
    <w:basedOn w:val="Normal"/>
    <w:link w:val="TextedebullesCar"/>
    <w:semiHidden/>
    <w:unhideWhenUsed/>
    <w:rsid w:val="00FA346B"/>
    <w:rPr>
      <w:rFonts w:ascii="Tahoma" w:hAnsi="Tahoma" w:cs="Tahoma"/>
      <w:sz w:val="16"/>
      <w:szCs w:val="16"/>
    </w:rPr>
  </w:style>
  <w:style w:type="character" w:customStyle="1" w:styleId="TextedebullesCar">
    <w:name w:val="Texte de bulles Car"/>
    <w:link w:val="Textedebulles"/>
    <w:semiHidden/>
    <w:rsid w:val="00FA346B"/>
    <w:rPr>
      <w:rFonts w:ascii="Tahoma" w:hAnsi="Tahoma" w:cs="Tahoma"/>
      <w:sz w:val="16"/>
      <w:szCs w:val="16"/>
    </w:rPr>
  </w:style>
  <w:style w:type="character" w:styleId="Lienhypertexte">
    <w:name w:val="Hyperlink"/>
    <w:rsid w:val="00F97FF0"/>
    <w:rPr>
      <w:color w:val="0563C1"/>
      <w:u w:val="single"/>
    </w:rPr>
  </w:style>
  <w:style w:type="paragraph" w:customStyle="1" w:styleId="ammannexetitre4">
    <w:name w:val="ammannexetitre4"/>
    <w:basedOn w:val="Normal"/>
    <w:rsid w:val="0039241B"/>
    <w:pPr>
      <w:spacing w:before="100" w:beforeAutospacing="1" w:after="100" w:afterAutospacing="1"/>
    </w:pPr>
    <w:rPr>
      <w:szCs w:val="24"/>
    </w:rPr>
  </w:style>
  <w:style w:type="paragraph" w:customStyle="1" w:styleId="ammcorpstexte">
    <w:name w:val="ammcorpstexte"/>
    <w:basedOn w:val="Normal"/>
    <w:rsid w:val="0039241B"/>
    <w:pPr>
      <w:spacing w:before="100" w:beforeAutospacing="1" w:after="100" w:afterAutospacing="1"/>
    </w:pPr>
    <w:rPr>
      <w:szCs w:val="24"/>
    </w:rPr>
  </w:style>
  <w:style w:type="paragraph" w:customStyle="1" w:styleId="ammannexetitre3">
    <w:name w:val="ammannexetitre3"/>
    <w:basedOn w:val="Normal"/>
    <w:rsid w:val="0039241B"/>
    <w:pPr>
      <w:spacing w:before="100" w:beforeAutospacing="1" w:after="100" w:afterAutospacing="1"/>
    </w:pPr>
    <w:rPr>
      <w:szCs w:val="24"/>
    </w:rPr>
  </w:style>
  <w:style w:type="paragraph" w:customStyle="1" w:styleId="ammlistepuces1">
    <w:name w:val="ammlistepuces1"/>
    <w:basedOn w:val="Normal"/>
    <w:rsid w:val="0039241B"/>
    <w:pPr>
      <w:spacing w:before="100" w:beforeAutospacing="1" w:after="100" w:afterAutospacing="1"/>
    </w:pPr>
    <w:rPr>
      <w:szCs w:val="24"/>
    </w:rPr>
  </w:style>
  <w:style w:type="character" w:customStyle="1" w:styleId="apple-converted-space">
    <w:name w:val="apple-converted-space"/>
    <w:basedOn w:val="Policepardfaut"/>
    <w:rsid w:val="0039241B"/>
  </w:style>
  <w:style w:type="paragraph" w:customStyle="1" w:styleId="ammannexetitre2bis">
    <w:name w:val="ammannexetitre2bis"/>
    <w:basedOn w:val="Normal"/>
    <w:rsid w:val="00531DC7"/>
    <w:pPr>
      <w:spacing w:before="100" w:beforeAutospacing="1" w:after="100" w:afterAutospacing="1"/>
    </w:pPr>
    <w:rPr>
      <w:szCs w:val="24"/>
    </w:rPr>
  </w:style>
  <w:style w:type="paragraph" w:customStyle="1" w:styleId="ammcorpstextegras">
    <w:name w:val="ammcorpstextegras"/>
    <w:basedOn w:val="Normal"/>
    <w:rsid w:val="00531DC7"/>
    <w:pPr>
      <w:spacing w:before="100" w:beforeAutospacing="1" w:after="100" w:afterAutospacing="1"/>
    </w:pPr>
    <w:rPr>
      <w:szCs w:val="24"/>
    </w:rPr>
  </w:style>
  <w:style w:type="paragraph" w:customStyle="1" w:styleId="ammannexetitre2">
    <w:name w:val="ammannexetitre2"/>
    <w:basedOn w:val="Normal"/>
    <w:rsid w:val="00D2136A"/>
    <w:pPr>
      <w:spacing w:before="100" w:beforeAutospacing="1" w:after="100" w:afterAutospacing="1"/>
    </w:pPr>
    <w:rPr>
      <w:szCs w:val="24"/>
    </w:rPr>
  </w:style>
  <w:style w:type="paragraph" w:customStyle="1" w:styleId="ammannexetitre1">
    <w:name w:val="ammannexetitre1"/>
    <w:basedOn w:val="Normal"/>
    <w:rsid w:val="00D2136A"/>
    <w:pPr>
      <w:spacing w:before="100" w:beforeAutospacing="1" w:after="100" w:afterAutospacing="1"/>
    </w:pPr>
    <w:rPr>
      <w:szCs w:val="24"/>
    </w:rPr>
  </w:style>
  <w:style w:type="paragraph" w:styleId="Rvision">
    <w:name w:val="Revision"/>
    <w:hidden/>
    <w:uiPriority w:val="99"/>
    <w:semiHidden/>
    <w:rsid w:val="00B36B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4729">
      <w:bodyDiv w:val="1"/>
      <w:marLeft w:val="0"/>
      <w:marRight w:val="0"/>
      <w:marTop w:val="0"/>
      <w:marBottom w:val="0"/>
      <w:divBdr>
        <w:top w:val="none" w:sz="0" w:space="0" w:color="auto"/>
        <w:left w:val="none" w:sz="0" w:space="0" w:color="auto"/>
        <w:bottom w:val="none" w:sz="0" w:space="0" w:color="auto"/>
        <w:right w:val="none" w:sz="0" w:space="0" w:color="auto"/>
      </w:divBdr>
    </w:div>
    <w:div w:id="143398050">
      <w:bodyDiv w:val="1"/>
      <w:marLeft w:val="0"/>
      <w:marRight w:val="0"/>
      <w:marTop w:val="0"/>
      <w:marBottom w:val="0"/>
      <w:divBdr>
        <w:top w:val="none" w:sz="0" w:space="0" w:color="auto"/>
        <w:left w:val="none" w:sz="0" w:space="0" w:color="auto"/>
        <w:bottom w:val="none" w:sz="0" w:space="0" w:color="auto"/>
        <w:right w:val="none" w:sz="0" w:space="0" w:color="auto"/>
      </w:divBdr>
    </w:div>
    <w:div w:id="198208696">
      <w:bodyDiv w:val="1"/>
      <w:marLeft w:val="0"/>
      <w:marRight w:val="0"/>
      <w:marTop w:val="0"/>
      <w:marBottom w:val="0"/>
      <w:divBdr>
        <w:top w:val="none" w:sz="0" w:space="0" w:color="auto"/>
        <w:left w:val="none" w:sz="0" w:space="0" w:color="auto"/>
        <w:bottom w:val="none" w:sz="0" w:space="0" w:color="auto"/>
        <w:right w:val="none" w:sz="0" w:space="0" w:color="auto"/>
      </w:divBdr>
    </w:div>
    <w:div w:id="214002076">
      <w:bodyDiv w:val="1"/>
      <w:marLeft w:val="0"/>
      <w:marRight w:val="0"/>
      <w:marTop w:val="0"/>
      <w:marBottom w:val="0"/>
      <w:divBdr>
        <w:top w:val="none" w:sz="0" w:space="0" w:color="auto"/>
        <w:left w:val="none" w:sz="0" w:space="0" w:color="auto"/>
        <w:bottom w:val="none" w:sz="0" w:space="0" w:color="auto"/>
        <w:right w:val="none" w:sz="0" w:space="0" w:color="auto"/>
      </w:divBdr>
    </w:div>
    <w:div w:id="432894352">
      <w:bodyDiv w:val="1"/>
      <w:marLeft w:val="0"/>
      <w:marRight w:val="0"/>
      <w:marTop w:val="0"/>
      <w:marBottom w:val="0"/>
      <w:divBdr>
        <w:top w:val="none" w:sz="0" w:space="0" w:color="auto"/>
        <w:left w:val="none" w:sz="0" w:space="0" w:color="auto"/>
        <w:bottom w:val="none" w:sz="0" w:space="0" w:color="auto"/>
        <w:right w:val="none" w:sz="0" w:space="0" w:color="auto"/>
      </w:divBdr>
    </w:div>
    <w:div w:id="1049955773">
      <w:bodyDiv w:val="1"/>
      <w:marLeft w:val="0"/>
      <w:marRight w:val="0"/>
      <w:marTop w:val="0"/>
      <w:marBottom w:val="0"/>
      <w:divBdr>
        <w:top w:val="none" w:sz="0" w:space="0" w:color="auto"/>
        <w:left w:val="none" w:sz="0" w:space="0" w:color="auto"/>
        <w:bottom w:val="none" w:sz="0" w:space="0" w:color="auto"/>
        <w:right w:val="none" w:sz="0" w:space="0" w:color="auto"/>
      </w:divBdr>
    </w:div>
    <w:div w:id="1084377667">
      <w:bodyDiv w:val="1"/>
      <w:marLeft w:val="0"/>
      <w:marRight w:val="0"/>
      <w:marTop w:val="0"/>
      <w:marBottom w:val="0"/>
      <w:divBdr>
        <w:top w:val="none" w:sz="0" w:space="0" w:color="auto"/>
        <w:left w:val="none" w:sz="0" w:space="0" w:color="auto"/>
        <w:bottom w:val="none" w:sz="0" w:space="0" w:color="auto"/>
        <w:right w:val="none" w:sz="0" w:space="0" w:color="auto"/>
      </w:divBdr>
    </w:div>
    <w:div w:id="1312321113">
      <w:bodyDiv w:val="1"/>
      <w:marLeft w:val="0"/>
      <w:marRight w:val="0"/>
      <w:marTop w:val="0"/>
      <w:marBottom w:val="0"/>
      <w:divBdr>
        <w:top w:val="none" w:sz="0" w:space="0" w:color="auto"/>
        <w:left w:val="none" w:sz="0" w:space="0" w:color="auto"/>
        <w:bottom w:val="none" w:sz="0" w:space="0" w:color="auto"/>
        <w:right w:val="none" w:sz="0" w:space="0" w:color="auto"/>
      </w:divBdr>
    </w:div>
    <w:div w:id="1328092148">
      <w:bodyDiv w:val="1"/>
      <w:marLeft w:val="0"/>
      <w:marRight w:val="0"/>
      <w:marTop w:val="0"/>
      <w:marBottom w:val="0"/>
      <w:divBdr>
        <w:top w:val="none" w:sz="0" w:space="0" w:color="auto"/>
        <w:left w:val="none" w:sz="0" w:space="0" w:color="auto"/>
        <w:bottom w:val="none" w:sz="0" w:space="0" w:color="auto"/>
        <w:right w:val="none" w:sz="0" w:space="0" w:color="auto"/>
      </w:divBdr>
    </w:div>
    <w:div w:id="1531530760">
      <w:bodyDiv w:val="1"/>
      <w:marLeft w:val="0"/>
      <w:marRight w:val="0"/>
      <w:marTop w:val="0"/>
      <w:marBottom w:val="0"/>
      <w:divBdr>
        <w:top w:val="none" w:sz="0" w:space="0" w:color="auto"/>
        <w:left w:val="none" w:sz="0" w:space="0" w:color="auto"/>
        <w:bottom w:val="none" w:sz="0" w:space="0" w:color="auto"/>
        <w:right w:val="none" w:sz="0" w:space="0" w:color="auto"/>
      </w:divBdr>
    </w:div>
    <w:div w:id="1813794617">
      <w:bodyDiv w:val="1"/>
      <w:marLeft w:val="0"/>
      <w:marRight w:val="0"/>
      <w:marTop w:val="0"/>
      <w:marBottom w:val="0"/>
      <w:divBdr>
        <w:top w:val="none" w:sz="0" w:space="0" w:color="auto"/>
        <w:left w:val="none" w:sz="0" w:space="0" w:color="auto"/>
        <w:bottom w:val="none" w:sz="0" w:space="0" w:color="auto"/>
        <w:right w:val="none" w:sz="0" w:space="0" w:color="auto"/>
      </w:divBdr>
    </w:div>
    <w:div w:id="1875116860">
      <w:bodyDiv w:val="1"/>
      <w:marLeft w:val="0"/>
      <w:marRight w:val="0"/>
      <w:marTop w:val="0"/>
      <w:marBottom w:val="0"/>
      <w:divBdr>
        <w:top w:val="none" w:sz="0" w:space="0" w:color="auto"/>
        <w:left w:val="none" w:sz="0" w:space="0" w:color="auto"/>
        <w:bottom w:val="none" w:sz="0" w:space="0" w:color="auto"/>
        <w:right w:val="none" w:sz="0" w:space="0" w:color="auto"/>
      </w:divBdr>
    </w:div>
    <w:div w:id="1998263982">
      <w:bodyDiv w:val="1"/>
      <w:marLeft w:val="0"/>
      <w:marRight w:val="0"/>
      <w:marTop w:val="0"/>
      <w:marBottom w:val="0"/>
      <w:divBdr>
        <w:top w:val="none" w:sz="0" w:space="0" w:color="auto"/>
        <w:left w:val="none" w:sz="0" w:space="0" w:color="auto"/>
        <w:bottom w:val="none" w:sz="0" w:space="0" w:color="auto"/>
        <w:right w:val="none" w:sz="0" w:space="0" w:color="auto"/>
      </w:divBdr>
    </w:div>
    <w:div w:id="2104065222">
      <w:bodyDiv w:val="1"/>
      <w:marLeft w:val="0"/>
      <w:marRight w:val="0"/>
      <w:marTop w:val="0"/>
      <w:marBottom w:val="0"/>
      <w:divBdr>
        <w:top w:val="none" w:sz="0" w:space="0" w:color="auto"/>
        <w:left w:val="none" w:sz="0" w:space="0" w:color="auto"/>
        <w:bottom w:val="none" w:sz="0" w:space="0" w:color="auto"/>
        <w:right w:val="none" w:sz="0" w:space="0" w:color="auto"/>
      </w:divBdr>
    </w:div>
    <w:div w:id="21366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6BAC611FDB014DAE5F5D02EDDF7010" ma:contentTypeVersion="6" ma:contentTypeDescription="Crée un document." ma:contentTypeScope="" ma:versionID="ee39823608f66dbaea484a61d165e5f4">
  <xsd:schema xmlns:xsd="http://www.w3.org/2001/XMLSchema" xmlns:xs="http://www.w3.org/2001/XMLSchema" xmlns:p="http://schemas.microsoft.com/office/2006/metadata/properties" xmlns:ns2="6271d2e5-0aa3-44e1-87a8-b43b89877f55" xmlns:ns3="fcf1b33a-82d7-4489-a46c-178463244d65" targetNamespace="http://schemas.microsoft.com/office/2006/metadata/properties" ma:root="true" ma:fieldsID="97223bf3eacc5f62433e8505c72ec6f7" ns2:_="" ns3:_="">
    <xsd:import namespace="6271d2e5-0aa3-44e1-87a8-b43b89877f55"/>
    <xsd:import namespace="fcf1b33a-82d7-4489-a46c-178463244d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1d2e5-0aa3-44e1-87a8-b43b89877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1b33a-82d7-4489-a46c-178463244d65"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97668-DD51-4F62-B46C-C5D8D2CAEF43}">
  <ds:schemaRefs>
    <ds:schemaRef ds:uri="http://schemas.openxmlformats.org/officeDocument/2006/bibliography"/>
  </ds:schemaRefs>
</ds:datastoreItem>
</file>

<file path=customXml/itemProps2.xml><?xml version="1.0" encoding="utf-8"?>
<ds:datastoreItem xmlns:ds="http://schemas.openxmlformats.org/officeDocument/2006/customXml" ds:itemID="{018BB31E-3D8A-45AC-BE9E-9ADFF6973BD5}"/>
</file>

<file path=customXml/itemProps3.xml><?xml version="1.0" encoding="utf-8"?>
<ds:datastoreItem xmlns:ds="http://schemas.openxmlformats.org/officeDocument/2006/customXml" ds:itemID="{D1482125-AF26-46DF-AE15-27F262902482}"/>
</file>

<file path=customXml/itemProps4.xml><?xml version="1.0" encoding="utf-8"?>
<ds:datastoreItem xmlns:ds="http://schemas.openxmlformats.org/officeDocument/2006/customXml" ds:itemID="{033839BA-B6D1-40D1-A1B8-CC1D5B2DF116}"/>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8755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RÉSUMÉ DES CARACTÉRISTIQUES DU PRODUIT</vt:lpstr>
    </vt:vector>
  </TitlesOfParts>
  <Company>BIOCODEX</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CARACTÉRISTIQUES DU PRODUIT</dc:title>
  <dc:creator>-</dc:creator>
  <cp:lastModifiedBy>SAJI Karima</cp:lastModifiedBy>
  <cp:revision>2</cp:revision>
  <cp:lastPrinted>2006-01-09T18:56:00Z</cp:lastPrinted>
  <dcterms:created xsi:type="dcterms:W3CDTF">2017-02-28T14:17:00Z</dcterms:created>
  <dcterms:modified xsi:type="dcterms:W3CDTF">2017-02-28T14:17:00Z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0x010100B46BAC611FDB014DAE5F5D02EDDF7010</vt:lpwstr>
  </property>
</Properties>
</file>